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90" w:type="dxa"/>
        <w:jc w:val="center"/>
        <w:tblLayout w:type="fixed"/>
        <w:tblLook w:val="0000" w:firstRow="0" w:lastRow="0" w:firstColumn="0" w:lastColumn="0" w:noHBand="0" w:noVBand="0"/>
      </w:tblPr>
      <w:tblGrid>
        <w:gridCol w:w="7094"/>
        <w:gridCol w:w="7496"/>
      </w:tblGrid>
      <w:tr w:rsidR="00EF1BA8" w:rsidRPr="00EF1BA8" w14:paraId="4775AAD1" w14:textId="77777777" w:rsidTr="00947060">
        <w:trPr>
          <w:trHeight w:val="711"/>
          <w:jc w:val="center"/>
        </w:trPr>
        <w:tc>
          <w:tcPr>
            <w:tcW w:w="7094" w:type="dxa"/>
          </w:tcPr>
          <w:p w14:paraId="4199E58C" w14:textId="05AE56E9" w:rsidR="00C1603C" w:rsidRPr="005521E8" w:rsidRDefault="00C1603C" w:rsidP="00BF6BC0">
            <w:pPr>
              <w:pStyle w:val="BodyTextIndent"/>
              <w:ind w:right="-108" w:firstLine="0"/>
              <w:jc w:val="center"/>
              <w:rPr>
                <w:rFonts w:ascii="Times New Roman" w:hAnsi="Times New Roman"/>
                <w:sz w:val="28"/>
                <w:szCs w:val="28"/>
                <w:lang w:val="nl-NL"/>
              </w:rPr>
            </w:pPr>
            <w:bookmarkStart w:id="0" w:name="_GoBack"/>
            <w:bookmarkEnd w:id="0"/>
            <w:r w:rsidRPr="005521E8">
              <w:rPr>
                <w:rFonts w:ascii="Times New Roman" w:hAnsi="Times New Roman"/>
                <w:sz w:val="28"/>
                <w:szCs w:val="28"/>
                <w:lang w:val="nl-NL"/>
              </w:rPr>
              <w:t xml:space="preserve">UBND </w:t>
            </w:r>
            <w:r w:rsidR="00EA0170" w:rsidRPr="005521E8">
              <w:rPr>
                <w:rFonts w:ascii="Times New Roman" w:hAnsi="Times New Roman"/>
                <w:sz w:val="28"/>
                <w:szCs w:val="28"/>
                <w:lang w:val="nl-NL"/>
              </w:rPr>
              <w:t>THÀNH PHỐ HÀ NỘI</w:t>
            </w:r>
          </w:p>
          <w:p w14:paraId="48080CBE" w14:textId="731CB8CB" w:rsidR="00C1603C" w:rsidRPr="005521E8" w:rsidRDefault="008C2383" w:rsidP="00BF6BC0">
            <w:pPr>
              <w:pStyle w:val="BodyTextIndent"/>
              <w:ind w:right="-96" w:firstLine="0"/>
              <w:jc w:val="center"/>
              <w:rPr>
                <w:rFonts w:ascii="Times New Roman" w:hAnsi="Times New Roman"/>
                <w:b/>
                <w:sz w:val="28"/>
                <w:szCs w:val="28"/>
                <w:lang w:val="nl-NL"/>
              </w:rPr>
            </w:pPr>
            <w:r w:rsidRPr="005521E8">
              <w:rPr>
                <w:rFonts w:ascii="Times New Roman" w:hAnsi="Times New Roman"/>
                <w:b/>
                <w:sz w:val="28"/>
                <w:szCs w:val="28"/>
                <w:lang w:val="nl-NL"/>
              </w:rPr>
              <w:t>SỞ Y TẾ</w:t>
            </w:r>
          </w:p>
          <w:p w14:paraId="77DDA98A" w14:textId="2FEA41A0" w:rsidR="00C1603C" w:rsidRPr="00EF1BA8" w:rsidRDefault="005521E8" w:rsidP="00BF6BC0">
            <w:pPr>
              <w:pStyle w:val="BodyTextIndent"/>
              <w:ind w:right="-376" w:firstLine="0"/>
              <w:rPr>
                <w:rFonts w:ascii="Times New Roman" w:hAnsi="Times New Roman"/>
                <w:b/>
                <w:sz w:val="26"/>
                <w:szCs w:val="26"/>
                <w:lang w:val="nl-NL"/>
              </w:rPr>
            </w:pPr>
            <w:r w:rsidRPr="00EF1BA8">
              <w:rPr>
                <w:rFonts w:ascii="Times New Roman" w:hAnsi="Times New Roman"/>
                <w:b/>
                <w:noProof/>
                <w:sz w:val="26"/>
                <w:szCs w:val="26"/>
                <w:lang w:val="en-US"/>
              </w:rPr>
              <mc:AlternateContent>
                <mc:Choice Requires="wps">
                  <w:drawing>
                    <wp:anchor distT="0" distB="0" distL="114300" distR="114300" simplePos="0" relativeHeight="251663872" behindDoc="0" locked="0" layoutInCell="1" allowOverlap="1" wp14:anchorId="253907A8" wp14:editId="5BA6A2D9">
                      <wp:simplePos x="0" y="0"/>
                      <wp:positionH relativeFrom="column">
                        <wp:posOffset>1924685</wp:posOffset>
                      </wp:positionH>
                      <wp:positionV relativeFrom="paragraph">
                        <wp:posOffset>36830</wp:posOffset>
                      </wp:positionV>
                      <wp:extent cx="58674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C22459" id="Straight Connector 3"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5pt,2.9pt" to="197.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"/>
                  </w:pict>
                </mc:Fallback>
              </mc:AlternateContent>
            </w:r>
          </w:p>
        </w:tc>
        <w:tc>
          <w:tcPr>
            <w:tcW w:w="7496" w:type="dxa"/>
          </w:tcPr>
          <w:p w14:paraId="0DBE0F24" w14:textId="77777777" w:rsidR="00C1603C" w:rsidRPr="00EF1BA8" w:rsidRDefault="00C1603C" w:rsidP="00947060">
            <w:pPr>
              <w:pStyle w:val="BodyTextIndent"/>
              <w:ind w:firstLine="0"/>
              <w:jc w:val="center"/>
              <w:rPr>
                <w:rFonts w:ascii="Times New Roman" w:hAnsi="Times New Roman"/>
                <w:b/>
                <w:bCs/>
                <w:sz w:val="26"/>
                <w:szCs w:val="26"/>
                <w:lang w:val="nl-NL"/>
              </w:rPr>
            </w:pPr>
            <w:r w:rsidRPr="00EF1BA8">
              <w:rPr>
                <w:rFonts w:ascii="Times New Roman" w:hAnsi="Times New Roman"/>
                <w:b/>
                <w:bCs/>
                <w:sz w:val="26"/>
                <w:szCs w:val="26"/>
                <w:lang w:val="nl-NL"/>
              </w:rPr>
              <w:t>CỘNG HOÀ XÃ HỘI CHỦ NGHĨA VIỆT NAM</w:t>
            </w:r>
          </w:p>
          <w:p w14:paraId="4F57A33B" w14:textId="63836C4B" w:rsidR="00C1603C" w:rsidRPr="005521E8" w:rsidRDefault="00C1603C" w:rsidP="00947060">
            <w:pPr>
              <w:pStyle w:val="BodyTextIndent"/>
              <w:ind w:firstLine="0"/>
              <w:jc w:val="center"/>
              <w:rPr>
                <w:rFonts w:ascii="Times New Roman" w:hAnsi="Times New Roman"/>
                <w:sz w:val="28"/>
                <w:szCs w:val="28"/>
                <w:lang w:val="en-US"/>
              </w:rPr>
            </w:pPr>
            <w:r w:rsidRPr="005521E8">
              <w:rPr>
                <w:rFonts w:ascii="Times New Roman" w:hAnsi="Times New Roman"/>
                <w:b/>
                <w:sz w:val="28"/>
                <w:szCs w:val="28"/>
                <w:lang w:val="en-US"/>
              </w:rPr>
              <w:t>Độc lập - Tự do - Hạnh phúc</w:t>
            </w:r>
          </w:p>
          <w:p w14:paraId="701DEF63" w14:textId="43DE6152" w:rsidR="00C1603C" w:rsidRPr="00165075" w:rsidRDefault="00947060" w:rsidP="00BF6BC0">
            <w:pPr>
              <w:pStyle w:val="BodyTextIndent"/>
              <w:ind w:right="-376" w:firstLine="0"/>
              <w:rPr>
                <w:rFonts w:ascii="Times New Roman" w:hAnsi="Times New Roman"/>
                <w:i/>
                <w:sz w:val="26"/>
                <w:szCs w:val="26"/>
                <w:lang w:val="en-US"/>
              </w:rPr>
            </w:pPr>
            <w:r w:rsidRPr="00EF1BA8">
              <w:rPr>
                <w:rFonts w:ascii="Times New Roman" w:hAnsi="Times New Roman"/>
                <w:noProof/>
                <w:sz w:val="26"/>
                <w:szCs w:val="26"/>
                <w:lang w:val="en-US"/>
              </w:rPr>
              <mc:AlternateContent>
                <mc:Choice Requires="wps">
                  <w:drawing>
                    <wp:anchor distT="0" distB="0" distL="114300" distR="114300" simplePos="0" relativeHeight="251657728" behindDoc="0" locked="0" layoutInCell="1" allowOverlap="1" wp14:anchorId="29A02C03" wp14:editId="57D5ADDA">
                      <wp:simplePos x="0" y="0"/>
                      <wp:positionH relativeFrom="column">
                        <wp:posOffset>1233170</wp:posOffset>
                      </wp:positionH>
                      <wp:positionV relativeFrom="paragraph">
                        <wp:posOffset>18415</wp:posOffset>
                      </wp:positionV>
                      <wp:extent cx="21596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0052AD" id="Straight Connector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1pt,1.45pt" to="267.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"/>
                  </w:pict>
                </mc:Fallback>
              </mc:AlternateContent>
            </w:r>
          </w:p>
        </w:tc>
      </w:tr>
      <w:tr w:rsidR="00FD6430" w:rsidRPr="00165075" w14:paraId="26728A20" w14:textId="77777777" w:rsidTr="00947060">
        <w:trPr>
          <w:trHeight w:val="366"/>
          <w:jc w:val="center"/>
        </w:trPr>
        <w:tc>
          <w:tcPr>
            <w:tcW w:w="7094" w:type="dxa"/>
          </w:tcPr>
          <w:p w14:paraId="5740181A" w14:textId="68FE21E2" w:rsidR="00C1603C" w:rsidRPr="00EF1BA8" w:rsidRDefault="00C1603C" w:rsidP="008740E5">
            <w:pPr>
              <w:pStyle w:val="BodyTextIndent"/>
              <w:ind w:right="-94" w:firstLine="0"/>
              <w:jc w:val="center"/>
              <w:rPr>
                <w:rFonts w:ascii="Times New Roman" w:hAnsi="Times New Roman"/>
                <w:sz w:val="26"/>
                <w:szCs w:val="26"/>
                <w:lang w:val="nl-NL"/>
              </w:rPr>
            </w:pPr>
          </w:p>
        </w:tc>
        <w:tc>
          <w:tcPr>
            <w:tcW w:w="7496" w:type="dxa"/>
          </w:tcPr>
          <w:p w14:paraId="50E96FCA" w14:textId="31BC5EF0" w:rsidR="00C1603C" w:rsidRPr="00EF1BA8" w:rsidRDefault="00B54A2F" w:rsidP="00947060">
            <w:pPr>
              <w:pStyle w:val="BodyTextIndent"/>
              <w:ind w:firstLine="0"/>
              <w:jc w:val="center"/>
              <w:rPr>
                <w:rFonts w:ascii="Times New Roman" w:hAnsi="Times New Roman"/>
                <w:b/>
                <w:bCs/>
                <w:sz w:val="26"/>
                <w:szCs w:val="26"/>
                <w:lang w:val="nl-NL"/>
              </w:rPr>
            </w:pPr>
            <w:r w:rsidRPr="005521E8">
              <w:rPr>
                <w:rFonts w:ascii="Times New Roman" w:hAnsi="Times New Roman"/>
                <w:i/>
                <w:sz w:val="28"/>
                <w:szCs w:val="28"/>
                <w:lang w:val="nl-NL"/>
              </w:rPr>
              <w:t>Hà Nội</w:t>
            </w:r>
            <w:r w:rsidR="00C1603C" w:rsidRPr="005521E8">
              <w:rPr>
                <w:rFonts w:ascii="Times New Roman" w:hAnsi="Times New Roman"/>
                <w:i/>
                <w:sz w:val="28"/>
                <w:szCs w:val="28"/>
                <w:lang w:val="nl-NL"/>
              </w:rPr>
              <w:t>, ngày</w:t>
            </w:r>
            <w:r w:rsidR="008C2383" w:rsidRPr="005521E8">
              <w:rPr>
                <w:rFonts w:ascii="Times New Roman" w:hAnsi="Times New Roman"/>
                <w:i/>
                <w:sz w:val="28"/>
                <w:szCs w:val="28"/>
                <w:lang w:val="nl-NL"/>
              </w:rPr>
              <w:t xml:space="preserve">   </w:t>
            </w:r>
            <w:r w:rsidR="00C1603C" w:rsidRPr="005521E8">
              <w:rPr>
                <w:rFonts w:ascii="Times New Roman" w:hAnsi="Times New Roman"/>
                <w:i/>
                <w:sz w:val="28"/>
                <w:szCs w:val="28"/>
                <w:lang w:val="nl-NL"/>
              </w:rPr>
              <w:t xml:space="preserve"> tháng </w:t>
            </w:r>
            <w:r w:rsidR="00FC01B5" w:rsidRPr="005521E8">
              <w:rPr>
                <w:rFonts w:ascii="Times New Roman" w:hAnsi="Times New Roman"/>
                <w:i/>
                <w:sz w:val="28"/>
                <w:szCs w:val="28"/>
                <w:lang w:val="nl-NL"/>
              </w:rPr>
              <w:t xml:space="preserve">     </w:t>
            </w:r>
            <w:r w:rsidR="004C06CE" w:rsidRPr="005521E8">
              <w:rPr>
                <w:rFonts w:ascii="Times New Roman" w:hAnsi="Times New Roman"/>
                <w:i/>
                <w:sz w:val="28"/>
                <w:szCs w:val="28"/>
                <w:lang w:val="nl-NL"/>
              </w:rPr>
              <w:t xml:space="preserve"> </w:t>
            </w:r>
            <w:r w:rsidR="008C2383" w:rsidRPr="005521E8">
              <w:rPr>
                <w:rFonts w:ascii="Times New Roman" w:hAnsi="Times New Roman"/>
                <w:i/>
                <w:sz w:val="28"/>
                <w:szCs w:val="28"/>
                <w:lang w:val="nl-NL"/>
              </w:rPr>
              <w:t xml:space="preserve"> năm 2026</w:t>
            </w:r>
          </w:p>
        </w:tc>
      </w:tr>
    </w:tbl>
    <w:p w14:paraId="434943C0" w14:textId="77777777" w:rsidR="00C1603C" w:rsidRPr="00594343" w:rsidRDefault="00C1603C" w:rsidP="00C1603C">
      <w:pPr>
        <w:widowControl w:val="0"/>
        <w:tabs>
          <w:tab w:val="right" w:leader="dot" w:pos="7920"/>
        </w:tabs>
        <w:spacing w:after="0" w:line="240" w:lineRule="auto"/>
        <w:rPr>
          <w:rFonts w:ascii="Times New Roman" w:eastAsia="Courier New" w:hAnsi="Times New Roman" w:cs="Times New Roman"/>
          <w:b/>
          <w:sz w:val="28"/>
          <w:szCs w:val="28"/>
          <w:lang w:eastAsia="vi-VN"/>
        </w:rPr>
      </w:pPr>
    </w:p>
    <w:p w14:paraId="0F49519C" w14:textId="77777777" w:rsidR="00055826" w:rsidRDefault="00DC669B" w:rsidP="00055826">
      <w:pPr>
        <w:widowControl w:val="0"/>
        <w:tabs>
          <w:tab w:val="right" w:leader="dot" w:pos="7920"/>
        </w:tabs>
        <w:spacing w:after="0" w:line="240" w:lineRule="auto"/>
        <w:ind w:firstLine="567"/>
        <w:jc w:val="center"/>
        <w:rPr>
          <w:rFonts w:ascii="Times New Roman" w:eastAsia="Courier New" w:hAnsi="Times New Roman" w:cs="Times New Roman"/>
          <w:b/>
          <w:bCs/>
          <w:sz w:val="28"/>
          <w:szCs w:val="28"/>
          <w:lang w:eastAsia="vi-VN"/>
        </w:rPr>
      </w:pPr>
      <w:r>
        <w:rPr>
          <w:rFonts w:ascii="Times New Roman" w:eastAsia="Courier New" w:hAnsi="Times New Roman" w:cs="Times New Roman"/>
          <w:b/>
          <w:bCs/>
          <w:sz w:val="28"/>
          <w:szCs w:val="28"/>
          <w:lang w:eastAsia="vi-VN"/>
        </w:rPr>
        <w:t>B</w:t>
      </w:r>
      <w:r w:rsidRPr="00DC669B">
        <w:rPr>
          <w:rFonts w:ascii="Times New Roman" w:eastAsia="Courier New" w:hAnsi="Times New Roman" w:cs="Times New Roman"/>
          <w:b/>
          <w:bCs/>
          <w:sz w:val="28"/>
          <w:szCs w:val="28"/>
          <w:lang w:val="vi-VN" w:eastAsia="vi-VN"/>
        </w:rPr>
        <w:t>ẢN SO S</w:t>
      </w:r>
      <w:r w:rsidRPr="00DC669B">
        <w:rPr>
          <w:rFonts w:ascii="Times New Roman" w:eastAsia="Courier New" w:hAnsi="Times New Roman" w:cs="Times New Roman"/>
          <w:b/>
          <w:bCs/>
          <w:sz w:val="28"/>
          <w:szCs w:val="28"/>
          <w:lang w:eastAsia="vi-VN"/>
        </w:rPr>
        <w:t>ÁNH, THUY</w:t>
      </w:r>
      <w:r w:rsidRPr="00DC669B">
        <w:rPr>
          <w:rFonts w:ascii="Times New Roman" w:eastAsia="Courier New" w:hAnsi="Times New Roman" w:cs="Times New Roman"/>
          <w:b/>
          <w:bCs/>
          <w:sz w:val="28"/>
          <w:szCs w:val="28"/>
          <w:lang w:val="vi-VN" w:eastAsia="vi-VN"/>
        </w:rPr>
        <w:t xml:space="preserve">ẾT MINH DỰ THẢO VĂN BẢN </w:t>
      </w:r>
    </w:p>
    <w:p w14:paraId="63695621" w14:textId="77777777" w:rsidR="00055826" w:rsidRDefault="00DC669B" w:rsidP="00055826">
      <w:pPr>
        <w:widowControl w:val="0"/>
        <w:tabs>
          <w:tab w:val="right" w:leader="dot" w:pos="7920"/>
        </w:tabs>
        <w:spacing w:after="0" w:line="240" w:lineRule="auto"/>
        <w:ind w:firstLine="567"/>
        <w:jc w:val="center"/>
        <w:rPr>
          <w:rFonts w:ascii="Times New Roman" w:eastAsia="Courier New" w:hAnsi="Times New Roman" w:cs="Times New Roman"/>
          <w:b/>
          <w:bCs/>
          <w:sz w:val="28"/>
          <w:szCs w:val="28"/>
          <w:lang w:eastAsia="vi-VN"/>
        </w:rPr>
      </w:pPr>
      <w:r w:rsidRPr="00DC669B">
        <w:rPr>
          <w:rFonts w:ascii="Times New Roman" w:eastAsia="Courier New" w:hAnsi="Times New Roman" w:cs="Times New Roman"/>
          <w:b/>
          <w:bCs/>
          <w:sz w:val="28"/>
          <w:szCs w:val="28"/>
          <w:lang w:val="vi-VN" w:eastAsia="vi-VN"/>
        </w:rPr>
        <w:t>QUY PHẠM PH</w:t>
      </w:r>
      <w:r w:rsidRPr="00DC669B">
        <w:rPr>
          <w:rFonts w:ascii="Times New Roman" w:eastAsia="Courier New" w:hAnsi="Times New Roman" w:cs="Times New Roman"/>
          <w:b/>
          <w:bCs/>
          <w:sz w:val="28"/>
          <w:szCs w:val="28"/>
          <w:lang w:eastAsia="vi-VN"/>
        </w:rPr>
        <w:t>ÁP LU</w:t>
      </w:r>
      <w:r w:rsidRPr="00DC669B">
        <w:rPr>
          <w:rFonts w:ascii="Times New Roman" w:eastAsia="Courier New" w:hAnsi="Times New Roman" w:cs="Times New Roman"/>
          <w:b/>
          <w:bCs/>
          <w:sz w:val="28"/>
          <w:szCs w:val="28"/>
          <w:lang w:val="vi-VN" w:eastAsia="vi-VN"/>
        </w:rPr>
        <w:t xml:space="preserve">ẬT </w:t>
      </w:r>
      <w:r>
        <w:rPr>
          <w:rFonts w:ascii="Times New Roman" w:eastAsia="Courier New" w:hAnsi="Times New Roman" w:cs="Times New Roman"/>
          <w:b/>
          <w:bCs/>
          <w:sz w:val="28"/>
          <w:szCs w:val="28"/>
          <w:lang w:eastAsia="vi-VN"/>
        </w:rPr>
        <w:t xml:space="preserve">VĂN BẢN MỚI </w:t>
      </w:r>
      <w:r w:rsidRPr="00DC669B">
        <w:rPr>
          <w:rFonts w:ascii="Times New Roman" w:eastAsia="Courier New" w:hAnsi="Times New Roman" w:cs="Times New Roman"/>
          <w:b/>
          <w:bCs/>
          <w:sz w:val="28"/>
          <w:szCs w:val="28"/>
          <w:lang w:val="vi-VN" w:eastAsia="vi-VN"/>
        </w:rPr>
        <w:t>VỚI VĂN BẢN </w:t>
      </w:r>
    </w:p>
    <w:p w14:paraId="47BD5898" w14:textId="496D4467" w:rsidR="00DC669B" w:rsidRDefault="00DC669B" w:rsidP="005A221F">
      <w:pPr>
        <w:widowControl w:val="0"/>
        <w:tabs>
          <w:tab w:val="right" w:leader="dot" w:pos="7920"/>
        </w:tabs>
        <w:spacing w:after="0" w:line="240" w:lineRule="auto"/>
        <w:ind w:firstLine="567"/>
        <w:jc w:val="center"/>
        <w:rPr>
          <w:rFonts w:ascii="Times New Roman" w:eastAsia="Courier New" w:hAnsi="Times New Roman" w:cs="Times New Roman"/>
          <w:b/>
          <w:bCs/>
          <w:sz w:val="28"/>
          <w:szCs w:val="28"/>
          <w:lang w:eastAsia="vi-VN"/>
        </w:rPr>
      </w:pPr>
      <w:r w:rsidRPr="00DC669B">
        <w:rPr>
          <w:rFonts w:ascii="Times New Roman" w:eastAsia="Courier New" w:hAnsi="Times New Roman" w:cs="Times New Roman"/>
          <w:b/>
          <w:bCs/>
          <w:sz w:val="28"/>
          <w:szCs w:val="28"/>
          <w:lang w:val="vi-VN" w:eastAsia="vi-VN"/>
        </w:rPr>
        <w:t>QUY PHẠM PH</w:t>
      </w:r>
      <w:r w:rsidRPr="00DC669B">
        <w:rPr>
          <w:rFonts w:ascii="Times New Roman" w:eastAsia="Courier New" w:hAnsi="Times New Roman" w:cs="Times New Roman"/>
          <w:b/>
          <w:bCs/>
          <w:sz w:val="28"/>
          <w:szCs w:val="28"/>
          <w:lang w:eastAsia="vi-VN"/>
        </w:rPr>
        <w:t>ÁP LU</w:t>
      </w:r>
      <w:r w:rsidRPr="00DC669B">
        <w:rPr>
          <w:rFonts w:ascii="Times New Roman" w:eastAsia="Courier New" w:hAnsi="Times New Roman" w:cs="Times New Roman"/>
          <w:b/>
          <w:bCs/>
          <w:sz w:val="28"/>
          <w:szCs w:val="28"/>
          <w:lang w:val="vi-VN" w:eastAsia="vi-VN"/>
        </w:rPr>
        <w:t>ẬT HIỆN H</w:t>
      </w:r>
      <w:r w:rsidRPr="00DC669B">
        <w:rPr>
          <w:rFonts w:ascii="Times New Roman" w:eastAsia="Courier New" w:hAnsi="Times New Roman" w:cs="Times New Roman"/>
          <w:b/>
          <w:bCs/>
          <w:sz w:val="28"/>
          <w:szCs w:val="28"/>
          <w:lang w:eastAsia="vi-VN"/>
        </w:rPr>
        <w:t>ÀNH</w:t>
      </w:r>
    </w:p>
    <w:p w14:paraId="376AC50B" w14:textId="77777777" w:rsidR="005A221F" w:rsidRDefault="005A221F" w:rsidP="005A221F">
      <w:pPr>
        <w:widowControl w:val="0"/>
        <w:tabs>
          <w:tab w:val="right" w:leader="dot" w:pos="7920"/>
        </w:tabs>
        <w:spacing w:after="0" w:line="240" w:lineRule="auto"/>
        <w:ind w:firstLine="567"/>
        <w:jc w:val="center"/>
        <w:rPr>
          <w:rFonts w:ascii="Times New Roman" w:eastAsia="Courier New" w:hAnsi="Times New Roman" w:cs="Times New Roman"/>
          <w:b/>
          <w:bCs/>
          <w:sz w:val="28"/>
          <w:szCs w:val="28"/>
          <w:lang w:eastAsia="vi-VN"/>
        </w:rPr>
      </w:pPr>
    </w:p>
    <w:tbl>
      <w:tblPr>
        <w:tblW w:w="495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548"/>
        <w:gridCol w:w="5384"/>
        <w:gridCol w:w="5931"/>
      </w:tblGrid>
      <w:tr w:rsidR="00111F5D" w:rsidRPr="00111F5D" w14:paraId="3615EB19" w14:textId="77777777" w:rsidTr="007F24CD">
        <w:trPr>
          <w:tblHeader/>
          <w:tblCellSpacing w:w="0" w:type="dxa"/>
        </w:trPr>
        <w:tc>
          <w:tcPr>
            <w:tcW w:w="919" w:type="pct"/>
            <w:vAlign w:val="center"/>
            <w:hideMark/>
          </w:tcPr>
          <w:p w14:paraId="5425E813" w14:textId="1616060C" w:rsidR="00111F5D" w:rsidRPr="00111F5D" w:rsidRDefault="005A221F" w:rsidP="002B7DFF">
            <w:pPr>
              <w:spacing w:after="0" w:line="360" w:lineRule="exac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en"/>
              </w:rPr>
              <w:t>Q</w:t>
            </w:r>
            <w:r w:rsidR="00111F5D" w:rsidRPr="00111F5D">
              <w:rPr>
                <w:rFonts w:ascii="Times New Roman" w:eastAsia="Times New Roman" w:hAnsi="Times New Roman" w:cs="Times New Roman"/>
                <w:b/>
                <w:bCs/>
                <w:color w:val="000000"/>
                <w:sz w:val="28"/>
                <w:szCs w:val="28"/>
                <w:lang w:val="en"/>
              </w:rPr>
              <w:t>UY PH</w:t>
            </w:r>
            <w:r w:rsidR="00111F5D" w:rsidRPr="00111F5D">
              <w:rPr>
                <w:rFonts w:ascii="Times New Roman" w:eastAsia="Times New Roman" w:hAnsi="Times New Roman" w:cs="Times New Roman"/>
                <w:b/>
                <w:bCs/>
                <w:color w:val="000000"/>
                <w:sz w:val="28"/>
                <w:szCs w:val="28"/>
                <w:lang w:val="vi-VN"/>
              </w:rPr>
              <w:t>ẠM PH</w:t>
            </w:r>
            <w:r w:rsidR="00111F5D" w:rsidRPr="00111F5D">
              <w:rPr>
                <w:rFonts w:ascii="Times New Roman" w:eastAsia="Times New Roman" w:hAnsi="Times New Roman" w:cs="Times New Roman"/>
                <w:b/>
                <w:bCs/>
                <w:color w:val="000000"/>
                <w:sz w:val="28"/>
                <w:szCs w:val="28"/>
              </w:rPr>
              <w:t>ÁP LU</w:t>
            </w:r>
            <w:r w:rsidR="00111F5D" w:rsidRPr="00111F5D">
              <w:rPr>
                <w:rFonts w:ascii="Times New Roman" w:eastAsia="Times New Roman" w:hAnsi="Times New Roman" w:cs="Times New Roman"/>
                <w:b/>
                <w:bCs/>
                <w:color w:val="000000"/>
                <w:sz w:val="28"/>
                <w:szCs w:val="28"/>
                <w:lang w:val="vi-VN"/>
              </w:rPr>
              <w:t>ẬT HIỆN H</w:t>
            </w:r>
            <w:r w:rsidR="00111F5D" w:rsidRPr="00111F5D">
              <w:rPr>
                <w:rFonts w:ascii="Times New Roman" w:eastAsia="Times New Roman" w:hAnsi="Times New Roman" w:cs="Times New Roman"/>
                <w:b/>
                <w:bCs/>
                <w:color w:val="000000"/>
                <w:sz w:val="28"/>
                <w:szCs w:val="28"/>
              </w:rPr>
              <w:t>ÀNH</w:t>
            </w:r>
          </w:p>
        </w:tc>
        <w:tc>
          <w:tcPr>
            <w:tcW w:w="1942" w:type="pct"/>
            <w:vAlign w:val="center"/>
            <w:hideMark/>
          </w:tcPr>
          <w:p w14:paraId="4D44F32C" w14:textId="77777777" w:rsidR="00111F5D" w:rsidRPr="00111F5D" w:rsidRDefault="00111F5D" w:rsidP="002B7DFF">
            <w:pPr>
              <w:spacing w:after="0" w:line="360" w:lineRule="exact"/>
              <w:jc w:val="center"/>
              <w:rPr>
                <w:rFonts w:ascii="Times New Roman" w:eastAsia="Times New Roman" w:hAnsi="Times New Roman" w:cs="Times New Roman"/>
                <w:color w:val="000000"/>
                <w:sz w:val="28"/>
                <w:szCs w:val="28"/>
              </w:rPr>
            </w:pPr>
            <w:r w:rsidRPr="00111F5D">
              <w:rPr>
                <w:rFonts w:ascii="Times New Roman" w:eastAsia="Times New Roman" w:hAnsi="Times New Roman" w:cs="Times New Roman"/>
                <w:b/>
                <w:bCs/>
                <w:color w:val="000000"/>
                <w:sz w:val="28"/>
                <w:szCs w:val="28"/>
                <w:lang w:val="en"/>
              </w:rPr>
              <w:t>D</w:t>
            </w:r>
            <w:r w:rsidRPr="00111F5D">
              <w:rPr>
                <w:rFonts w:ascii="Times New Roman" w:eastAsia="Times New Roman" w:hAnsi="Times New Roman" w:cs="Times New Roman"/>
                <w:b/>
                <w:bCs/>
                <w:color w:val="000000"/>
                <w:sz w:val="28"/>
                <w:szCs w:val="28"/>
                <w:lang w:val="vi-VN"/>
              </w:rPr>
              <w:t>Ự THẢO VĂN BẢN</w:t>
            </w:r>
          </w:p>
        </w:tc>
        <w:tc>
          <w:tcPr>
            <w:tcW w:w="2139" w:type="pct"/>
            <w:vAlign w:val="center"/>
            <w:hideMark/>
          </w:tcPr>
          <w:p w14:paraId="6931C9C1" w14:textId="77777777" w:rsidR="00111F5D" w:rsidRPr="00111F5D" w:rsidRDefault="00111F5D" w:rsidP="002B7DFF">
            <w:pPr>
              <w:spacing w:after="0" w:line="360" w:lineRule="exact"/>
              <w:jc w:val="center"/>
              <w:rPr>
                <w:rFonts w:ascii="Times New Roman" w:eastAsia="Times New Roman" w:hAnsi="Times New Roman" w:cs="Times New Roman"/>
                <w:color w:val="000000"/>
                <w:sz w:val="28"/>
                <w:szCs w:val="28"/>
              </w:rPr>
            </w:pPr>
            <w:r w:rsidRPr="00111F5D">
              <w:rPr>
                <w:rFonts w:ascii="Times New Roman" w:eastAsia="Times New Roman" w:hAnsi="Times New Roman" w:cs="Times New Roman"/>
                <w:b/>
                <w:bCs/>
                <w:color w:val="000000"/>
                <w:sz w:val="28"/>
                <w:szCs w:val="28"/>
                <w:lang w:val="en"/>
              </w:rPr>
              <w:t>THUY</w:t>
            </w:r>
            <w:r w:rsidRPr="00111F5D">
              <w:rPr>
                <w:rFonts w:ascii="Times New Roman" w:eastAsia="Times New Roman" w:hAnsi="Times New Roman" w:cs="Times New Roman"/>
                <w:b/>
                <w:bCs/>
                <w:color w:val="000000"/>
                <w:sz w:val="28"/>
                <w:szCs w:val="28"/>
                <w:lang w:val="vi-VN"/>
              </w:rPr>
              <w:t>ẾT MINH</w:t>
            </w:r>
          </w:p>
        </w:tc>
      </w:tr>
      <w:tr w:rsidR="00111F5D" w:rsidRPr="00E03869" w14:paraId="2D3CA00F" w14:textId="77777777" w:rsidTr="004B16C6">
        <w:trPr>
          <w:tblCellSpacing w:w="0" w:type="dxa"/>
        </w:trPr>
        <w:tc>
          <w:tcPr>
            <w:tcW w:w="919" w:type="pct"/>
            <w:hideMark/>
          </w:tcPr>
          <w:p w14:paraId="1A6578FA" w14:textId="77777777" w:rsidR="00121F09" w:rsidRDefault="00184604" w:rsidP="002B7DFF">
            <w:pPr>
              <w:spacing w:after="0" w:line="360" w:lineRule="exact"/>
              <w:rPr>
                <w:rFonts w:ascii="Times New Roman" w:eastAsia="Times New Roman" w:hAnsi="Times New Roman" w:cs="Times New Roman"/>
                <w:b/>
                <w:bCs/>
                <w:color w:val="000000"/>
                <w:sz w:val="28"/>
                <w:szCs w:val="28"/>
              </w:rPr>
            </w:pPr>
            <w:r w:rsidRPr="00184604">
              <w:rPr>
                <w:rFonts w:ascii="Times New Roman" w:eastAsia="Times New Roman" w:hAnsi="Times New Roman" w:cs="Times New Roman"/>
                <w:b/>
                <w:bCs/>
                <w:color w:val="000000"/>
                <w:sz w:val="28"/>
                <w:szCs w:val="28"/>
              </w:rPr>
              <w:t xml:space="preserve">Điều 1. </w:t>
            </w:r>
          </w:p>
          <w:p w14:paraId="3E53CD3D" w14:textId="043ED9BA" w:rsidR="002B7DFF" w:rsidRPr="00184604" w:rsidRDefault="00184604" w:rsidP="002B7DFF">
            <w:pPr>
              <w:spacing w:after="0" w:line="360" w:lineRule="exact"/>
              <w:rPr>
                <w:rFonts w:ascii="Times New Roman" w:eastAsia="Times New Roman" w:hAnsi="Times New Roman" w:cs="Times New Roman"/>
                <w:b/>
                <w:bCs/>
                <w:color w:val="000000"/>
                <w:sz w:val="28"/>
                <w:szCs w:val="28"/>
              </w:rPr>
            </w:pPr>
            <w:r w:rsidRPr="00184604">
              <w:rPr>
                <w:rFonts w:ascii="Times New Roman" w:eastAsia="Times New Roman" w:hAnsi="Times New Roman" w:cs="Times New Roman"/>
                <w:b/>
                <w:bCs/>
                <w:color w:val="000000"/>
                <w:sz w:val="28"/>
                <w:szCs w:val="28"/>
              </w:rPr>
              <w:t>Phạm vi điều chỉnh</w:t>
            </w:r>
            <w:r w:rsidR="002B7DFF" w:rsidRPr="002B7DFF">
              <w:rPr>
                <w:rFonts w:ascii="Times New Roman" w:eastAsia="Times New Roman" w:hAnsi="Times New Roman" w:cs="Times New Roman"/>
                <w:b/>
                <w:bCs/>
                <w:color w:val="000000"/>
                <w:sz w:val="28"/>
                <w:szCs w:val="28"/>
              </w:rPr>
              <w:t>, đối tượng áp dụng</w:t>
            </w:r>
          </w:p>
          <w:p w14:paraId="01E8ECD6" w14:textId="52E1C354" w:rsidR="00111F5D" w:rsidRPr="00111F5D" w:rsidRDefault="00111F5D" w:rsidP="002B7DFF">
            <w:pPr>
              <w:spacing w:after="0" w:line="360" w:lineRule="exact"/>
              <w:rPr>
                <w:rFonts w:ascii="Times New Roman" w:eastAsia="Times New Roman" w:hAnsi="Times New Roman" w:cs="Times New Roman"/>
                <w:color w:val="000000"/>
                <w:sz w:val="28"/>
                <w:szCs w:val="28"/>
              </w:rPr>
            </w:pPr>
          </w:p>
        </w:tc>
        <w:tc>
          <w:tcPr>
            <w:tcW w:w="1942" w:type="pct"/>
            <w:hideMark/>
          </w:tcPr>
          <w:p w14:paraId="3A9D154E" w14:textId="77777777" w:rsidR="002B7DFF" w:rsidRPr="002B7DFF" w:rsidRDefault="002B7DFF" w:rsidP="004F3A6D">
            <w:pPr>
              <w:spacing w:after="0" w:line="360" w:lineRule="exact"/>
              <w:ind w:left="130" w:right="110"/>
              <w:jc w:val="both"/>
              <w:rPr>
                <w:rFonts w:ascii="Times New Roman" w:eastAsia="Times New Roman" w:hAnsi="Times New Roman" w:cs="Times New Roman"/>
                <w:color w:val="000000"/>
                <w:sz w:val="28"/>
                <w:szCs w:val="28"/>
              </w:rPr>
            </w:pPr>
            <w:r w:rsidRPr="002B7DFF">
              <w:rPr>
                <w:rFonts w:ascii="Times New Roman" w:eastAsia="Times New Roman" w:hAnsi="Times New Roman" w:cs="Times New Roman"/>
                <w:color w:val="000000"/>
                <w:sz w:val="28"/>
                <w:szCs w:val="28"/>
              </w:rPr>
              <w:t>1.1. Phạm vi điều chỉnh</w:t>
            </w:r>
          </w:p>
          <w:p w14:paraId="37471A04" w14:textId="77777777" w:rsidR="002B7DFF" w:rsidRPr="002B7DFF" w:rsidRDefault="002B7DFF" w:rsidP="004F3A6D">
            <w:pPr>
              <w:spacing w:after="0" w:line="360" w:lineRule="exact"/>
              <w:ind w:left="130" w:right="110"/>
              <w:jc w:val="both"/>
              <w:rPr>
                <w:rFonts w:ascii="Times New Roman" w:eastAsia="Times New Roman" w:hAnsi="Times New Roman" w:cs="Times New Roman"/>
                <w:color w:val="000000"/>
                <w:sz w:val="28"/>
                <w:szCs w:val="28"/>
              </w:rPr>
            </w:pPr>
            <w:r w:rsidRPr="002B7DFF">
              <w:rPr>
                <w:rFonts w:ascii="Times New Roman" w:eastAsia="Times New Roman" w:hAnsi="Times New Roman" w:cs="Times New Roman"/>
                <w:color w:val="000000"/>
                <w:sz w:val="28"/>
                <w:szCs w:val="28"/>
              </w:rPr>
              <w:t>Quyết định này quy định thủ tục điều chỉnh Giấy phép hoạt động đối với trường hợp thay đổi, bổ sung, giảm bớt danh mục kỹ thuật đặc biệt của cơ sở khám bệnh, chữa bệnh do thành phố quản lý về chuyên môn.</w:t>
            </w:r>
          </w:p>
          <w:p w14:paraId="3DBDECA3" w14:textId="77777777" w:rsidR="002B7DFF" w:rsidRPr="002B7DFF" w:rsidRDefault="002B7DFF" w:rsidP="004F3A6D">
            <w:pPr>
              <w:spacing w:after="0" w:line="360" w:lineRule="exact"/>
              <w:ind w:left="130" w:right="110"/>
              <w:jc w:val="both"/>
              <w:rPr>
                <w:rFonts w:ascii="Times New Roman" w:eastAsia="Times New Roman" w:hAnsi="Times New Roman" w:cs="Times New Roman"/>
                <w:color w:val="000000"/>
                <w:sz w:val="28"/>
                <w:szCs w:val="28"/>
              </w:rPr>
            </w:pPr>
            <w:r w:rsidRPr="002B7DFF">
              <w:rPr>
                <w:rFonts w:ascii="Times New Roman" w:eastAsia="Times New Roman" w:hAnsi="Times New Roman" w:cs="Times New Roman"/>
                <w:color w:val="000000"/>
                <w:sz w:val="28"/>
                <w:szCs w:val="28"/>
              </w:rPr>
              <w:t>1.2. Đối tượng áp dụng</w:t>
            </w:r>
          </w:p>
          <w:p w14:paraId="5FD27D8B" w14:textId="3A2BF33F" w:rsidR="00111F5D" w:rsidRPr="00111F5D" w:rsidRDefault="002B7DFF" w:rsidP="004F3A6D">
            <w:pPr>
              <w:spacing w:after="0" w:line="360" w:lineRule="exact"/>
              <w:ind w:left="130" w:right="110"/>
              <w:jc w:val="both"/>
              <w:rPr>
                <w:rFonts w:ascii="Times New Roman" w:eastAsia="Times New Roman" w:hAnsi="Times New Roman" w:cs="Times New Roman"/>
                <w:color w:val="000000"/>
                <w:sz w:val="28"/>
                <w:szCs w:val="28"/>
              </w:rPr>
            </w:pPr>
            <w:r w:rsidRPr="002B7DFF">
              <w:rPr>
                <w:rFonts w:ascii="Times New Roman" w:eastAsia="Times New Roman" w:hAnsi="Times New Roman" w:cs="Times New Roman"/>
                <w:color w:val="000000"/>
                <w:sz w:val="28"/>
                <w:szCs w:val="28"/>
              </w:rPr>
              <w:t>Các cơ sở khám bệnh, chữa bệnh do Thành phố quản lý về chuyên môn và các cơ quan, tổ chức, cá nhân có liên quan.</w:t>
            </w:r>
          </w:p>
        </w:tc>
        <w:tc>
          <w:tcPr>
            <w:tcW w:w="2139" w:type="pct"/>
            <w:vAlign w:val="center"/>
          </w:tcPr>
          <w:p w14:paraId="5B1F51B3" w14:textId="59F16EDE" w:rsidR="007F24CD" w:rsidRDefault="007F24CD" w:rsidP="00893D75">
            <w:pPr>
              <w:spacing w:after="0" w:line="360" w:lineRule="exact"/>
              <w:ind w:left="130" w:right="110"/>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color w:val="000000"/>
                <w:sz w:val="28"/>
                <w:szCs w:val="28"/>
              </w:rPr>
              <w:t xml:space="preserve">- </w:t>
            </w:r>
            <w:r w:rsidRPr="007F24CD">
              <w:rPr>
                <w:rFonts w:ascii="Times New Roman" w:eastAsia="Times New Roman" w:hAnsi="Times New Roman" w:cs="Times New Roman"/>
                <w:color w:val="000000"/>
                <w:sz w:val="28"/>
                <w:szCs w:val="28"/>
              </w:rPr>
              <w:t>Tại điểm a khoản 2 Điều 17 Luật Thủ đô số 02/2026/QH16 quy địn</w:t>
            </w:r>
            <w:r w:rsidR="003A292C">
              <w:rPr>
                <w:rFonts w:ascii="Times New Roman" w:eastAsia="Times New Roman" w:hAnsi="Times New Roman" w:cs="Times New Roman"/>
                <w:color w:val="000000"/>
                <w:sz w:val="28"/>
                <w:szCs w:val="28"/>
              </w:rPr>
              <w:t xml:space="preserve">h: </w:t>
            </w:r>
            <w:r w:rsidR="003A292C" w:rsidRPr="003A292C">
              <w:rPr>
                <w:rFonts w:ascii="Times New Roman" w:eastAsia="Times New Roman" w:hAnsi="Times New Roman" w:cs="Times New Roman"/>
                <w:i/>
                <w:iCs/>
                <w:color w:val="000000"/>
                <w:sz w:val="28"/>
                <w:szCs w:val="28"/>
              </w:rPr>
              <w:t>“2. Căn cứ quy định của Uỷ ban nhân dân Thành phố, Chủ tịch uỷ ban nhân dân Thành phố có thẩm quyền:</w:t>
            </w:r>
          </w:p>
          <w:p w14:paraId="1E3729FF" w14:textId="52700D3B" w:rsidR="003A292C" w:rsidRPr="007F24CD" w:rsidRDefault="003A292C" w:rsidP="00893D75">
            <w:pPr>
              <w:spacing w:after="0" w:line="360" w:lineRule="exact"/>
              <w:ind w:left="130" w:right="110"/>
              <w:jc w:val="both"/>
              <w:rPr>
                <w:rFonts w:ascii="Times New Roman" w:eastAsia="Times New Roman" w:hAnsi="Times New Roman" w:cs="Times New Roman"/>
                <w:color w:val="000000"/>
                <w:sz w:val="28"/>
                <w:szCs w:val="28"/>
              </w:rPr>
            </w:pPr>
            <w:r w:rsidRPr="003A292C">
              <w:rPr>
                <w:rFonts w:ascii="Times New Roman" w:eastAsia="Times New Roman" w:hAnsi="Times New Roman" w:cs="Times New Roman"/>
                <w:i/>
                <w:iCs/>
                <w:color w:val="000000"/>
                <w:sz w:val="28"/>
                <w:szCs w:val="28"/>
              </w:rPr>
              <w:t>a) Quyết định cho phép cơ sở khám bệnh chữa bệnh do Thành phố quản lý về chuyên môn được áp dụng kỹ thuật loại đặc biệt;”</w:t>
            </w:r>
          </w:p>
          <w:p w14:paraId="60D02C34" w14:textId="79F75856" w:rsidR="00111F5D" w:rsidRPr="00E03869" w:rsidRDefault="007F24CD" w:rsidP="00547954">
            <w:pPr>
              <w:spacing w:after="0" w:line="360" w:lineRule="exact"/>
              <w:ind w:left="130" w:right="10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F24CD">
              <w:rPr>
                <w:rFonts w:ascii="Times New Roman" w:eastAsia="Times New Roman" w:hAnsi="Times New Roman" w:cs="Times New Roman"/>
                <w:color w:val="000000"/>
                <w:sz w:val="28"/>
                <w:szCs w:val="28"/>
              </w:rPr>
              <w:t>Hiện nay chưa có quy định cụ thể về trình tự, thủ tục thực hiện đối với trường hợp thay đổi, bổ sung, giảm bớt danh mục kỹ thuật đặc biệt thuộc thẩm quyền của Thành phố. Vì vậy, việc ban hành Quyết định để quy định phạm vi điều chỉnh và đối tượng áp dụng là cần thiết nhằm bảo đảm cơ sở pháp lý cho việc tổ chức thực hiện thống nhất trên địa bàn Thành phố.</w:t>
            </w:r>
          </w:p>
        </w:tc>
      </w:tr>
      <w:tr w:rsidR="00111F5D" w:rsidRPr="00111F5D" w14:paraId="34B7320C" w14:textId="77777777" w:rsidTr="004F3A6D">
        <w:trPr>
          <w:tblCellSpacing w:w="0" w:type="dxa"/>
        </w:trPr>
        <w:tc>
          <w:tcPr>
            <w:tcW w:w="919" w:type="pct"/>
            <w:vAlign w:val="center"/>
            <w:hideMark/>
          </w:tcPr>
          <w:p w14:paraId="09D518C6" w14:textId="1B38A19E" w:rsidR="00111F5D" w:rsidRPr="00111F5D" w:rsidRDefault="00184604" w:rsidP="002B7DFF">
            <w:pPr>
              <w:spacing w:after="0" w:line="360" w:lineRule="exact"/>
              <w:rPr>
                <w:rFonts w:ascii="Times New Roman" w:eastAsia="Times New Roman" w:hAnsi="Times New Roman" w:cs="Times New Roman"/>
                <w:color w:val="000000"/>
                <w:sz w:val="28"/>
                <w:szCs w:val="28"/>
              </w:rPr>
            </w:pPr>
            <w:r w:rsidRPr="00184604">
              <w:rPr>
                <w:rFonts w:ascii="Times New Roman" w:eastAsia="Times New Roman" w:hAnsi="Times New Roman" w:cs="Times New Roman"/>
                <w:b/>
                <w:bCs/>
                <w:color w:val="000000"/>
                <w:sz w:val="28"/>
                <w:szCs w:val="28"/>
              </w:rPr>
              <w:lastRenderedPageBreak/>
              <w:t xml:space="preserve">Điều 2. </w:t>
            </w:r>
            <w:r w:rsidR="004F3A6D" w:rsidRPr="004F3A6D">
              <w:rPr>
                <w:rFonts w:ascii="Times New Roman" w:eastAsia="Times New Roman" w:hAnsi="Times New Roman" w:cs="Times New Roman"/>
                <w:b/>
                <w:bCs/>
                <w:color w:val="000000"/>
                <w:sz w:val="28"/>
                <w:szCs w:val="28"/>
              </w:rPr>
              <w:t>Thủ tục điều chỉnh Giấy phép hoạt động đối với trường hợp thay đổi, bổ sung, giảm bớt danh mục kỹ thuật đặc biệt của cơ sở khám bệnh, chữa bệnh do thành phố quản lý về chuyên môn.</w:t>
            </w:r>
          </w:p>
        </w:tc>
        <w:tc>
          <w:tcPr>
            <w:tcW w:w="1942" w:type="pct"/>
            <w:vAlign w:val="center"/>
          </w:tcPr>
          <w:p w14:paraId="59F88146" w14:textId="77777777" w:rsidR="004F3A6D" w:rsidRPr="004F3A6D" w:rsidRDefault="004F3A6D" w:rsidP="004F3A6D">
            <w:pPr>
              <w:spacing w:after="0" w:line="360" w:lineRule="exact"/>
              <w:ind w:left="130" w:right="110"/>
              <w:jc w:val="both"/>
              <w:rPr>
                <w:rFonts w:ascii="Times New Roman" w:eastAsia="Times New Roman" w:hAnsi="Times New Roman" w:cs="Times New Roman"/>
                <w:bCs/>
                <w:color w:val="000000"/>
                <w:sz w:val="28"/>
                <w:szCs w:val="28"/>
              </w:rPr>
            </w:pPr>
            <w:r w:rsidRPr="004F3A6D">
              <w:rPr>
                <w:rFonts w:ascii="Times New Roman" w:eastAsia="Times New Roman" w:hAnsi="Times New Roman" w:cs="Times New Roman"/>
                <w:bCs/>
                <w:color w:val="000000"/>
                <w:sz w:val="28"/>
                <w:szCs w:val="28"/>
              </w:rPr>
              <w:t>1. Nộp 01 bộ hồ sơ theo quy định tại khoản 2 Điều 64 Nghị định 96/2023/NĐ-CP và nộp phí theo quy định của pháp luật về phí, lệ phí cho cơ quan cấp giấy phép hoạt động.</w:t>
            </w:r>
          </w:p>
          <w:p w14:paraId="2D844C3F" w14:textId="77777777" w:rsidR="004F3A6D" w:rsidRPr="004F3A6D" w:rsidRDefault="004F3A6D" w:rsidP="004F3A6D">
            <w:pPr>
              <w:spacing w:after="0" w:line="360" w:lineRule="exact"/>
              <w:ind w:left="130" w:right="110"/>
              <w:jc w:val="both"/>
              <w:rPr>
                <w:rFonts w:ascii="Times New Roman" w:eastAsia="Times New Roman" w:hAnsi="Times New Roman" w:cs="Times New Roman"/>
                <w:bCs/>
                <w:color w:val="000000"/>
                <w:sz w:val="28"/>
                <w:szCs w:val="28"/>
              </w:rPr>
            </w:pPr>
            <w:r w:rsidRPr="004F3A6D">
              <w:rPr>
                <w:rFonts w:ascii="Times New Roman" w:eastAsia="Times New Roman" w:hAnsi="Times New Roman" w:cs="Times New Roman"/>
                <w:bCs/>
                <w:color w:val="000000"/>
                <w:sz w:val="28"/>
                <w:szCs w:val="28"/>
              </w:rPr>
              <w:t>2. Sau khi nhận hồ sơ, cơ quan cấp giấy phép hoạt động cấp phiếu tiếp nhận hồ sơ cho cơ sở đề nghị.</w:t>
            </w:r>
          </w:p>
          <w:p w14:paraId="476DE35B" w14:textId="77777777" w:rsidR="004F3A6D" w:rsidRPr="004F3A6D" w:rsidRDefault="004F3A6D" w:rsidP="004F3A6D">
            <w:pPr>
              <w:spacing w:after="0" w:line="360" w:lineRule="exact"/>
              <w:ind w:left="130" w:right="110"/>
              <w:jc w:val="both"/>
              <w:rPr>
                <w:rFonts w:ascii="Times New Roman" w:eastAsia="Times New Roman" w:hAnsi="Times New Roman" w:cs="Times New Roman"/>
                <w:bCs/>
                <w:color w:val="000000"/>
                <w:sz w:val="28"/>
                <w:szCs w:val="28"/>
              </w:rPr>
            </w:pPr>
            <w:r w:rsidRPr="004F3A6D">
              <w:rPr>
                <w:rFonts w:ascii="Times New Roman" w:eastAsia="Times New Roman" w:hAnsi="Times New Roman" w:cs="Times New Roman"/>
                <w:bCs/>
                <w:color w:val="000000"/>
                <w:sz w:val="28"/>
                <w:szCs w:val="28"/>
              </w:rPr>
              <w:t>3. Trường hợp có yêu cầu sửa đổi, bổ sung hồ sơ, trong thời hạn 07 ngày làm việc, kể từ ngày ghi trên phiếu tiếp nhận hồ sơ, cơ quan cấp giấy phép hoạt động phải có văn bản gửi cơ sở đề nghị, trong đó phải nêu cụ thể các tài liệu, nội dung cần sửa đổi, bổ sung.</w:t>
            </w:r>
          </w:p>
          <w:p w14:paraId="5DB7E50F" w14:textId="77777777" w:rsidR="004F3A6D" w:rsidRPr="004F3A6D" w:rsidRDefault="004F3A6D" w:rsidP="004F3A6D">
            <w:pPr>
              <w:spacing w:after="0" w:line="360" w:lineRule="exact"/>
              <w:ind w:left="130" w:right="110"/>
              <w:jc w:val="both"/>
              <w:rPr>
                <w:rFonts w:ascii="Times New Roman" w:eastAsia="Times New Roman" w:hAnsi="Times New Roman" w:cs="Times New Roman"/>
                <w:bCs/>
                <w:color w:val="000000"/>
                <w:sz w:val="28"/>
                <w:szCs w:val="28"/>
              </w:rPr>
            </w:pPr>
            <w:r w:rsidRPr="004F3A6D">
              <w:rPr>
                <w:rFonts w:ascii="Times New Roman" w:eastAsia="Times New Roman" w:hAnsi="Times New Roman" w:cs="Times New Roman"/>
                <w:bCs/>
                <w:color w:val="000000"/>
                <w:sz w:val="28"/>
                <w:szCs w:val="28"/>
              </w:rPr>
              <w:t>Trong thời hạn 06 tháng, kể từ ngày cơ quan cấp giấy phép hoạt động có văn bản thông báo sửa đổi, bổ sung, cơ sở đề nghị phải nộp hồ sơ sửa đổi, bổ sung theo yêu cầu. Sau thời hạn trên, cơ sở đề nghị không sửa đổi, bổ sung thì hồ sơ đã nộp không còn giá trị.</w:t>
            </w:r>
          </w:p>
          <w:p w14:paraId="72DB69D5" w14:textId="77777777" w:rsidR="004F3A6D" w:rsidRPr="004F3A6D" w:rsidRDefault="004F3A6D" w:rsidP="004F3A6D">
            <w:pPr>
              <w:spacing w:after="0" w:line="360" w:lineRule="exact"/>
              <w:ind w:left="130" w:right="110"/>
              <w:jc w:val="both"/>
              <w:rPr>
                <w:rFonts w:ascii="Times New Roman" w:eastAsia="Times New Roman" w:hAnsi="Times New Roman" w:cs="Times New Roman"/>
                <w:bCs/>
                <w:color w:val="000000"/>
                <w:sz w:val="28"/>
                <w:szCs w:val="28"/>
              </w:rPr>
            </w:pPr>
            <w:r w:rsidRPr="004F3A6D">
              <w:rPr>
                <w:rFonts w:ascii="Times New Roman" w:eastAsia="Times New Roman" w:hAnsi="Times New Roman" w:cs="Times New Roman"/>
                <w:bCs/>
                <w:color w:val="000000"/>
                <w:sz w:val="28"/>
                <w:szCs w:val="28"/>
              </w:rPr>
              <w:t>4. Sau khi nhận hồ sơ sửa đổi, bổ sung, cơ quan cấp giấy phép hoạt động trả cho cơ sở đề nghị phiếu tiếp nhận hồ sơ sửa đổi, bổ sung:</w:t>
            </w:r>
          </w:p>
          <w:p w14:paraId="6677F41B" w14:textId="77777777" w:rsidR="004F3A6D" w:rsidRPr="004F3A6D" w:rsidRDefault="004F3A6D" w:rsidP="004F3A6D">
            <w:pPr>
              <w:spacing w:after="0" w:line="360" w:lineRule="exact"/>
              <w:ind w:left="130" w:right="110"/>
              <w:jc w:val="both"/>
              <w:rPr>
                <w:rFonts w:ascii="Times New Roman" w:eastAsia="Times New Roman" w:hAnsi="Times New Roman" w:cs="Times New Roman"/>
                <w:bCs/>
                <w:color w:val="000000"/>
                <w:sz w:val="28"/>
                <w:szCs w:val="28"/>
              </w:rPr>
            </w:pPr>
            <w:r w:rsidRPr="004F3A6D">
              <w:rPr>
                <w:rFonts w:ascii="Times New Roman" w:eastAsia="Times New Roman" w:hAnsi="Times New Roman" w:cs="Times New Roman"/>
                <w:bCs/>
                <w:color w:val="000000"/>
                <w:sz w:val="28"/>
                <w:szCs w:val="28"/>
              </w:rPr>
              <w:t xml:space="preserve">Trường hợp hồ sơ sửa đổi, bổ sung không đáp ứng yêu cầu, cơ quan cấp giấy phép hoạt động </w:t>
            </w:r>
            <w:r w:rsidRPr="004F3A6D">
              <w:rPr>
                <w:rFonts w:ascii="Times New Roman" w:eastAsia="Times New Roman" w:hAnsi="Times New Roman" w:cs="Times New Roman"/>
                <w:bCs/>
                <w:color w:val="000000"/>
                <w:sz w:val="28"/>
                <w:szCs w:val="28"/>
              </w:rPr>
              <w:lastRenderedPageBreak/>
              <w:t>phải có văn bản thông báo cho cơ sở đề nghị theo quy định tại khoản 3, Điều 66, Nghị định số 96/2023/NĐ-CP.</w:t>
            </w:r>
          </w:p>
          <w:p w14:paraId="22DCA706" w14:textId="77777777" w:rsidR="004F3A6D" w:rsidRPr="004F3A6D" w:rsidRDefault="004F3A6D" w:rsidP="004F3A6D">
            <w:pPr>
              <w:spacing w:after="0" w:line="360" w:lineRule="exact"/>
              <w:ind w:left="130" w:right="110"/>
              <w:jc w:val="both"/>
              <w:rPr>
                <w:rFonts w:ascii="Times New Roman" w:eastAsia="Times New Roman" w:hAnsi="Times New Roman" w:cs="Times New Roman"/>
                <w:bCs/>
                <w:color w:val="000000"/>
                <w:sz w:val="28"/>
                <w:szCs w:val="28"/>
              </w:rPr>
            </w:pPr>
            <w:r w:rsidRPr="004F3A6D">
              <w:rPr>
                <w:rFonts w:ascii="Times New Roman" w:eastAsia="Times New Roman" w:hAnsi="Times New Roman" w:cs="Times New Roman"/>
                <w:bCs/>
                <w:color w:val="000000"/>
                <w:sz w:val="28"/>
                <w:szCs w:val="28"/>
              </w:rPr>
              <w:t>Trong thời hạn 06 tháng, kể từ ngày cơ quan cấp giấy phép hoạt động có văn bản thông báo sửa đổi, bổ sung, cơ sở đề nghị phải nộp hồ sơ sửa đổi, bổ sung theo yêu cầu.</w:t>
            </w:r>
          </w:p>
          <w:p w14:paraId="06004449" w14:textId="77777777" w:rsidR="004F3A6D" w:rsidRPr="004F3A6D" w:rsidRDefault="004F3A6D" w:rsidP="004F3A6D">
            <w:pPr>
              <w:spacing w:after="0" w:line="360" w:lineRule="exact"/>
              <w:ind w:left="130" w:right="110"/>
              <w:jc w:val="both"/>
              <w:rPr>
                <w:rFonts w:ascii="Times New Roman" w:eastAsia="Times New Roman" w:hAnsi="Times New Roman" w:cs="Times New Roman"/>
                <w:bCs/>
                <w:color w:val="000000"/>
                <w:sz w:val="28"/>
                <w:szCs w:val="28"/>
              </w:rPr>
            </w:pPr>
            <w:r w:rsidRPr="004F3A6D">
              <w:rPr>
                <w:rFonts w:ascii="Times New Roman" w:eastAsia="Times New Roman" w:hAnsi="Times New Roman" w:cs="Times New Roman"/>
                <w:bCs/>
                <w:color w:val="000000"/>
                <w:sz w:val="28"/>
                <w:szCs w:val="28"/>
              </w:rPr>
              <w:t>Sau thời hạn trên, cơ sở đề nghị không sửa đổi, bổ sung hoặc sau 12 tháng, kể từ ngày nộp hồ sơ lần đầu mà hồ sơ bổ sung không đáp ứng yêu cầu thì hồ sơ đã nộp không còn giá trị.</w:t>
            </w:r>
          </w:p>
          <w:p w14:paraId="53485359" w14:textId="77777777" w:rsidR="004F3A6D" w:rsidRPr="004F3A6D" w:rsidRDefault="004F3A6D" w:rsidP="004F3A6D">
            <w:pPr>
              <w:spacing w:after="0" w:line="360" w:lineRule="exact"/>
              <w:ind w:left="130" w:right="110"/>
              <w:jc w:val="both"/>
              <w:rPr>
                <w:rFonts w:ascii="Times New Roman" w:eastAsia="Times New Roman" w:hAnsi="Times New Roman" w:cs="Times New Roman"/>
                <w:bCs/>
                <w:color w:val="000000"/>
                <w:sz w:val="28"/>
                <w:szCs w:val="28"/>
              </w:rPr>
            </w:pPr>
            <w:r w:rsidRPr="004F3A6D">
              <w:rPr>
                <w:rFonts w:ascii="Times New Roman" w:eastAsia="Times New Roman" w:hAnsi="Times New Roman" w:cs="Times New Roman"/>
                <w:bCs/>
                <w:color w:val="000000"/>
                <w:sz w:val="28"/>
                <w:szCs w:val="28"/>
              </w:rPr>
              <w:t>5. Trường hợp không có yêu cầu sửa đổi, bổ sung hồ sơ hoặc hồ sơ đã được hoàn thiện theo quy định tại khoản 3, 4, Điều 66, Nghị định số 96/2023/NĐ-CP, cơ quan cấp giấy phép hoạt động:</w:t>
            </w:r>
          </w:p>
          <w:p w14:paraId="18B26B54" w14:textId="67BCD140" w:rsidR="004F3A6D" w:rsidRPr="004F3A6D" w:rsidRDefault="004F3A6D" w:rsidP="004F3A6D">
            <w:pPr>
              <w:spacing w:after="0" w:line="360" w:lineRule="exact"/>
              <w:ind w:left="130" w:right="110"/>
              <w:jc w:val="both"/>
              <w:rPr>
                <w:rFonts w:ascii="Times New Roman" w:eastAsia="Times New Roman" w:hAnsi="Times New Roman" w:cs="Times New Roman"/>
                <w:bCs/>
                <w:color w:val="000000"/>
                <w:sz w:val="28"/>
                <w:szCs w:val="28"/>
              </w:rPr>
            </w:pPr>
            <w:r w:rsidRPr="004F3A6D">
              <w:rPr>
                <w:rFonts w:ascii="Times New Roman" w:eastAsia="Times New Roman" w:hAnsi="Times New Roman" w:cs="Times New Roman"/>
                <w:bCs/>
                <w:color w:val="000000"/>
                <w:sz w:val="28"/>
                <w:szCs w:val="28"/>
              </w:rPr>
              <w:t>a</w:t>
            </w:r>
            <w:r w:rsidRPr="00E9712F">
              <w:rPr>
                <w:rFonts w:ascii="Times New Roman" w:eastAsia="Times New Roman" w:hAnsi="Times New Roman" w:cs="Times New Roman"/>
                <w:bCs/>
                <w:color w:val="000000"/>
                <w:spacing w:val="-2"/>
                <w:sz w:val="28"/>
                <w:szCs w:val="28"/>
              </w:rPr>
              <w:t>) Ban hành văn bản cho phép thay đổi quy mô hoạt động, phạm vi hoạt động chuyên môn hoặc bổ sung, giảm bớt danh mục kỹ thuật đặc biệt trong thời hạn 20 ngày, kể từ ngày ghi trên phiếu tiếp nhận hồ sơ nếu thuộc trường hợp không phải tổ chức thẩm định thực tế tại cơ sở;</w:t>
            </w:r>
          </w:p>
          <w:p w14:paraId="0FCC41DF" w14:textId="3594C9DD" w:rsidR="004F3A6D" w:rsidRPr="004F3A6D" w:rsidRDefault="004F3A6D" w:rsidP="00E9712F">
            <w:pPr>
              <w:spacing w:after="0" w:line="360" w:lineRule="exact"/>
              <w:ind w:left="130" w:right="110"/>
              <w:jc w:val="both"/>
              <w:rPr>
                <w:rFonts w:ascii="Times New Roman" w:eastAsia="Times New Roman" w:hAnsi="Times New Roman" w:cs="Times New Roman"/>
                <w:bCs/>
                <w:color w:val="000000"/>
                <w:sz w:val="28"/>
                <w:szCs w:val="28"/>
              </w:rPr>
            </w:pPr>
            <w:r w:rsidRPr="004F3A6D">
              <w:rPr>
                <w:rFonts w:ascii="Times New Roman" w:eastAsia="Times New Roman" w:hAnsi="Times New Roman" w:cs="Times New Roman"/>
                <w:bCs/>
                <w:color w:val="000000"/>
                <w:sz w:val="28"/>
                <w:szCs w:val="28"/>
              </w:rPr>
              <w:t xml:space="preserve">b) Cơ quan cấp giấy phép hoạt động tổ chức thẩm định tại cơ sở đề nghị và lập biên bản </w:t>
            </w:r>
            <w:r w:rsidRPr="004F3A6D">
              <w:rPr>
                <w:rFonts w:ascii="Times New Roman" w:eastAsia="Times New Roman" w:hAnsi="Times New Roman" w:cs="Times New Roman"/>
                <w:bCs/>
                <w:color w:val="000000"/>
                <w:sz w:val="28"/>
                <w:szCs w:val="28"/>
              </w:rPr>
              <w:lastRenderedPageBreak/>
              <w:t>thẩm định trong thời hạn 60 ngày, kể từ ngày ghi trên phiếu tiếp nhận hồ sơ đối với trường hợp phải tổ chức thẩm định thực tế tại cơ sở, biên bản thẩm định phải nêu rõ yêu cầu sửa đổi, bổ sung (nếu có).</w:t>
            </w:r>
          </w:p>
          <w:p w14:paraId="2A07BF03" w14:textId="77777777" w:rsidR="004F3A6D" w:rsidRPr="004F3A6D" w:rsidRDefault="004F3A6D" w:rsidP="004F3A6D">
            <w:pPr>
              <w:spacing w:after="0" w:line="360" w:lineRule="exact"/>
              <w:ind w:left="130" w:right="110"/>
              <w:jc w:val="both"/>
              <w:rPr>
                <w:rFonts w:ascii="Times New Roman" w:eastAsia="Times New Roman" w:hAnsi="Times New Roman" w:cs="Times New Roman"/>
                <w:bCs/>
                <w:color w:val="000000"/>
                <w:sz w:val="28"/>
                <w:szCs w:val="28"/>
              </w:rPr>
            </w:pPr>
            <w:r w:rsidRPr="004F3A6D">
              <w:rPr>
                <w:rFonts w:ascii="Times New Roman" w:eastAsia="Times New Roman" w:hAnsi="Times New Roman" w:cs="Times New Roman"/>
                <w:bCs/>
                <w:color w:val="000000"/>
                <w:sz w:val="28"/>
                <w:szCs w:val="28"/>
              </w:rPr>
              <w:t>6. Sau khi thẩm định thực tế tại cơ sở, cơ quan cấp giấy phép hoạt động có trách nhiệm:</w:t>
            </w:r>
          </w:p>
          <w:p w14:paraId="06379602" w14:textId="77777777" w:rsidR="004F3A6D" w:rsidRPr="004F3A6D" w:rsidRDefault="004F3A6D" w:rsidP="004F3A6D">
            <w:pPr>
              <w:spacing w:after="0" w:line="360" w:lineRule="exact"/>
              <w:ind w:left="130" w:right="110"/>
              <w:jc w:val="both"/>
              <w:rPr>
                <w:rFonts w:ascii="Times New Roman" w:eastAsia="Times New Roman" w:hAnsi="Times New Roman" w:cs="Times New Roman"/>
                <w:bCs/>
                <w:color w:val="000000"/>
                <w:sz w:val="28"/>
                <w:szCs w:val="28"/>
              </w:rPr>
            </w:pPr>
            <w:r w:rsidRPr="004F3A6D">
              <w:rPr>
                <w:rFonts w:ascii="Times New Roman" w:eastAsia="Times New Roman" w:hAnsi="Times New Roman" w:cs="Times New Roman"/>
                <w:bCs/>
                <w:color w:val="000000"/>
                <w:sz w:val="28"/>
                <w:szCs w:val="28"/>
              </w:rPr>
              <w:t>a) Ban hành văn bản cho phép thay đổi quy mô hoạt động, phạm vi hoạt động chuyên môn hoặc bổ sung, giảm bớt danh mục kỹ thuật đặc biệt trong thời hạn 10 ngày làm việc, kể từ ngày ban hành biên bản thẩm định đối với trường hợp không có yêu cầu sửa đổi, bổ sung;</w:t>
            </w:r>
          </w:p>
          <w:p w14:paraId="1D827BE2" w14:textId="77777777" w:rsidR="004F3A6D" w:rsidRPr="004F3A6D" w:rsidRDefault="004F3A6D" w:rsidP="004F3A6D">
            <w:pPr>
              <w:spacing w:after="0" w:line="360" w:lineRule="exact"/>
              <w:ind w:left="130" w:right="110"/>
              <w:jc w:val="both"/>
              <w:rPr>
                <w:rFonts w:ascii="Times New Roman" w:eastAsia="Times New Roman" w:hAnsi="Times New Roman" w:cs="Times New Roman"/>
                <w:bCs/>
                <w:color w:val="000000"/>
                <w:sz w:val="28"/>
                <w:szCs w:val="28"/>
              </w:rPr>
            </w:pPr>
            <w:r w:rsidRPr="004F3A6D">
              <w:rPr>
                <w:rFonts w:ascii="Times New Roman" w:eastAsia="Times New Roman" w:hAnsi="Times New Roman" w:cs="Times New Roman"/>
                <w:bCs/>
                <w:color w:val="000000"/>
                <w:sz w:val="28"/>
                <w:szCs w:val="28"/>
              </w:rPr>
              <w:t>b) Ban hành văn bản thông báo về các nội dung cần khắc phục, sửa chữa trong thời hạn 05 ngày làm việc, kể từ ngày ban hành biên bản thẩm định đối với trường hợp có yêu cầu sửa đổi, bổ sung.</w:t>
            </w:r>
          </w:p>
          <w:p w14:paraId="31D74693" w14:textId="77777777" w:rsidR="004F3A6D" w:rsidRPr="004F3A6D" w:rsidRDefault="004F3A6D" w:rsidP="004F3A6D">
            <w:pPr>
              <w:spacing w:after="0" w:line="360" w:lineRule="exact"/>
              <w:ind w:left="130" w:right="110"/>
              <w:jc w:val="both"/>
              <w:rPr>
                <w:rFonts w:ascii="Times New Roman" w:eastAsia="Times New Roman" w:hAnsi="Times New Roman" w:cs="Times New Roman"/>
                <w:bCs/>
                <w:color w:val="000000"/>
                <w:sz w:val="28"/>
                <w:szCs w:val="28"/>
              </w:rPr>
            </w:pPr>
            <w:r w:rsidRPr="004F3A6D">
              <w:rPr>
                <w:rFonts w:ascii="Times New Roman" w:eastAsia="Times New Roman" w:hAnsi="Times New Roman" w:cs="Times New Roman"/>
                <w:bCs/>
                <w:color w:val="000000"/>
                <w:sz w:val="28"/>
                <w:szCs w:val="28"/>
              </w:rPr>
              <w:t>Trong thời hạn 06 tháng, kể từ ngày cơ quan cấp giấy phép hoạt động có văn bản thông báo về các nội dung cần sửa đổi, bổ sung mà cơ sở đề nghị không hoàn thành việc sửa đổi, bổ sung thì hồ sơ đã nộp không còn giá trị.</w:t>
            </w:r>
          </w:p>
          <w:p w14:paraId="2ABB3518" w14:textId="77777777" w:rsidR="004F3A6D" w:rsidRPr="004F3A6D" w:rsidRDefault="004F3A6D" w:rsidP="004F3A6D">
            <w:pPr>
              <w:spacing w:after="0" w:line="360" w:lineRule="exact"/>
              <w:ind w:left="130" w:right="110"/>
              <w:jc w:val="both"/>
              <w:rPr>
                <w:rFonts w:ascii="Times New Roman" w:eastAsia="Times New Roman" w:hAnsi="Times New Roman" w:cs="Times New Roman"/>
                <w:bCs/>
                <w:color w:val="000000"/>
                <w:sz w:val="28"/>
                <w:szCs w:val="28"/>
              </w:rPr>
            </w:pPr>
            <w:r w:rsidRPr="004F3A6D">
              <w:rPr>
                <w:rFonts w:ascii="Times New Roman" w:eastAsia="Times New Roman" w:hAnsi="Times New Roman" w:cs="Times New Roman"/>
                <w:bCs/>
                <w:color w:val="000000"/>
                <w:sz w:val="28"/>
                <w:szCs w:val="28"/>
              </w:rPr>
              <w:lastRenderedPageBreak/>
              <w:t>7. Trong thời hạn 10 ngày làm việc, kể từ ngày nhận được văn bản thông báo và tài liệu chứng minh đã hoàn thành việc sửa đổi, bổ sung của cơ sở đề nghị, cơ quan cấp giấy phép hoạt động:</w:t>
            </w:r>
          </w:p>
          <w:p w14:paraId="6AF09C54" w14:textId="77777777" w:rsidR="004F3A6D" w:rsidRPr="004F3A6D" w:rsidRDefault="004F3A6D" w:rsidP="004F3A6D">
            <w:pPr>
              <w:spacing w:after="0" w:line="360" w:lineRule="exact"/>
              <w:ind w:left="130" w:right="110"/>
              <w:jc w:val="both"/>
              <w:rPr>
                <w:rFonts w:ascii="Times New Roman" w:eastAsia="Times New Roman" w:hAnsi="Times New Roman" w:cs="Times New Roman"/>
                <w:bCs/>
                <w:color w:val="000000"/>
                <w:sz w:val="28"/>
                <w:szCs w:val="28"/>
              </w:rPr>
            </w:pPr>
            <w:r w:rsidRPr="004F3A6D">
              <w:rPr>
                <w:rFonts w:ascii="Times New Roman" w:eastAsia="Times New Roman" w:hAnsi="Times New Roman" w:cs="Times New Roman"/>
                <w:bCs/>
                <w:color w:val="000000"/>
                <w:sz w:val="28"/>
                <w:szCs w:val="28"/>
              </w:rPr>
              <w:t>a) Ban hành văn bản cho phép thay đổi quy mô hoạt động, phạm vi hoạt động chuyên môn hoặc bổ sung, giảm bớt danh mục kỹ thuật đặc biệt đối với trường hợp không cần kiểm tra thực tế việc sửa đổi, bổ sung của cơ sở đề nghị.</w:t>
            </w:r>
          </w:p>
          <w:p w14:paraId="2BAA2EB7" w14:textId="77777777" w:rsidR="004F3A6D" w:rsidRPr="004F3A6D" w:rsidRDefault="004F3A6D" w:rsidP="004F3A6D">
            <w:pPr>
              <w:spacing w:after="0" w:line="360" w:lineRule="exact"/>
              <w:ind w:left="130" w:right="110"/>
              <w:jc w:val="both"/>
              <w:rPr>
                <w:rFonts w:ascii="Times New Roman" w:eastAsia="Times New Roman" w:hAnsi="Times New Roman" w:cs="Times New Roman"/>
                <w:bCs/>
                <w:color w:val="000000"/>
                <w:sz w:val="28"/>
                <w:szCs w:val="28"/>
              </w:rPr>
            </w:pPr>
            <w:r w:rsidRPr="004F3A6D">
              <w:rPr>
                <w:rFonts w:ascii="Times New Roman" w:eastAsia="Times New Roman" w:hAnsi="Times New Roman" w:cs="Times New Roman"/>
                <w:bCs/>
                <w:color w:val="000000"/>
                <w:sz w:val="28"/>
                <w:szCs w:val="28"/>
              </w:rPr>
              <w:t>b) Tiến hành kiểm tra thực tế việc sửa đổi, bổ sung của cơ sở đề nghị trong trường hợp phải kiểm tra thực tế:</w:t>
            </w:r>
          </w:p>
          <w:p w14:paraId="3ACEE10C" w14:textId="77777777" w:rsidR="004F3A6D" w:rsidRPr="004F3A6D" w:rsidRDefault="004F3A6D" w:rsidP="004F3A6D">
            <w:pPr>
              <w:spacing w:after="0" w:line="360" w:lineRule="exact"/>
              <w:ind w:left="130" w:right="110"/>
              <w:jc w:val="both"/>
              <w:rPr>
                <w:rFonts w:ascii="Times New Roman" w:eastAsia="Times New Roman" w:hAnsi="Times New Roman" w:cs="Times New Roman"/>
                <w:bCs/>
                <w:color w:val="000000"/>
                <w:sz w:val="28"/>
                <w:szCs w:val="28"/>
              </w:rPr>
            </w:pPr>
            <w:r w:rsidRPr="004F3A6D">
              <w:rPr>
                <w:rFonts w:ascii="Times New Roman" w:eastAsia="Times New Roman" w:hAnsi="Times New Roman" w:cs="Times New Roman"/>
                <w:bCs/>
                <w:color w:val="000000"/>
                <w:sz w:val="28"/>
                <w:szCs w:val="28"/>
              </w:rPr>
              <w:t>- Ban hành văn bản cho phép thay đổi quy mô hoạt động, phạm vi hoạt động chuyên môn hoặc bổ sung, giảm bớt danh mục kỹ thuật đặc biệt đối với trường hợp cơ sở đề nghị đã hoàn thành việc sửa đổi, bổ sung;</w:t>
            </w:r>
          </w:p>
          <w:p w14:paraId="2D9C5689" w14:textId="77777777" w:rsidR="004F3A6D" w:rsidRPr="004F3A6D" w:rsidRDefault="004F3A6D" w:rsidP="004F3A6D">
            <w:pPr>
              <w:spacing w:after="0" w:line="360" w:lineRule="exact"/>
              <w:ind w:left="130" w:right="110"/>
              <w:jc w:val="both"/>
              <w:rPr>
                <w:rFonts w:ascii="Times New Roman" w:eastAsia="Times New Roman" w:hAnsi="Times New Roman" w:cs="Times New Roman"/>
                <w:bCs/>
                <w:color w:val="000000"/>
                <w:sz w:val="28"/>
                <w:szCs w:val="28"/>
              </w:rPr>
            </w:pPr>
            <w:r w:rsidRPr="004F3A6D">
              <w:rPr>
                <w:rFonts w:ascii="Times New Roman" w:eastAsia="Times New Roman" w:hAnsi="Times New Roman" w:cs="Times New Roman"/>
                <w:bCs/>
                <w:color w:val="000000"/>
                <w:sz w:val="28"/>
                <w:szCs w:val="28"/>
              </w:rPr>
              <w:t>- Có văn bản trả lời và nêu rõ lý do không cho phép thay đổi quy mô hoạt động, phạm vi hoạt động chuyên môn hoặc bổ sung, giảm bớt danh mục kỹ thuật đặc biệt nếu cơ sở đề nghị đã hoàn thành việc sửa đổi, bổ sung.</w:t>
            </w:r>
          </w:p>
          <w:p w14:paraId="61B0A30E" w14:textId="77777777" w:rsidR="004F3A6D" w:rsidRPr="004F3A6D" w:rsidRDefault="004F3A6D" w:rsidP="004F3A6D">
            <w:pPr>
              <w:spacing w:after="0" w:line="360" w:lineRule="exact"/>
              <w:ind w:left="130" w:right="110"/>
              <w:jc w:val="both"/>
              <w:rPr>
                <w:rFonts w:ascii="Times New Roman" w:eastAsia="Times New Roman" w:hAnsi="Times New Roman" w:cs="Times New Roman"/>
                <w:bCs/>
                <w:color w:val="000000"/>
                <w:sz w:val="28"/>
                <w:szCs w:val="28"/>
              </w:rPr>
            </w:pPr>
            <w:r w:rsidRPr="004F3A6D">
              <w:rPr>
                <w:rFonts w:ascii="Times New Roman" w:eastAsia="Times New Roman" w:hAnsi="Times New Roman" w:cs="Times New Roman"/>
                <w:bCs/>
                <w:color w:val="000000"/>
                <w:sz w:val="28"/>
                <w:szCs w:val="28"/>
              </w:rPr>
              <w:lastRenderedPageBreak/>
              <w:t>8. Trong thời hạn 05 ngày làm việc, kể từ ngày cho phép bổ sung danh mục kỹ thuật đặc biệt, cơ quan cấp giấy phép hoạt động công bố, cập nhật trên cổng thông tin điện tử hoặc trang tin điện tử của mình và trên Hệ thống thông tin về quản lý hoạt động khám bệnh, chữa bệnh các thông tin liên quan đến nội dung điều chỉnh.</w:t>
            </w:r>
          </w:p>
          <w:p w14:paraId="506C2F65" w14:textId="77777777" w:rsidR="004F3A6D" w:rsidRPr="004F3A6D" w:rsidRDefault="004F3A6D" w:rsidP="004F3A6D">
            <w:pPr>
              <w:spacing w:after="0" w:line="360" w:lineRule="exact"/>
              <w:ind w:left="130" w:right="110"/>
              <w:jc w:val="both"/>
              <w:rPr>
                <w:rFonts w:ascii="Times New Roman" w:eastAsia="Times New Roman" w:hAnsi="Times New Roman" w:cs="Times New Roman"/>
                <w:bCs/>
                <w:color w:val="000000"/>
                <w:sz w:val="28"/>
                <w:szCs w:val="28"/>
              </w:rPr>
            </w:pPr>
            <w:r w:rsidRPr="004F3A6D">
              <w:rPr>
                <w:rFonts w:ascii="Times New Roman" w:eastAsia="Times New Roman" w:hAnsi="Times New Roman" w:cs="Times New Roman"/>
                <w:bCs/>
                <w:color w:val="000000"/>
                <w:sz w:val="28"/>
                <w:szCs w:val="28"/>
              </w:rPr>
              <w:t>9. Văn bản cho phép bổ sung danh mục kỹ thuật đặc biệt được lập thành 02 bản: 01 bản cấp cho cơ sở đề nghị và 01 bản lưu tại cơ quan cấp phép hoạt động trừ trường hợp đã trả kết quả trên môi trường điện tử.</w:t>
            </w:r>
          </w:p>
          <w:p w14:paraId="61631154" w14:textId="77777777" w:rsidR="004F3A6D" w:rsidRPr="004F3A6D" w:rsidRDefault="004F3A6D" w:rsidP="004F3A6D">
            <w:pPr>
              <w:spacing w:after="0" w:line="360" w:lineRule="exact"/>
              <w:ind w:left="130" w:right="110"/>
              <w:jc w:val="both"/>
              <w:rPr>
                <w:rFonts w:ascii="Times New Roman" w:eastAsia="Times New Roman" w:hAnsi="Times New Roman" w:cs="Times New Roman"/>
                <w:bCs/>
                <w:color w:val="000000"/>
                <w:sz w:val="28"/>
                <w:szCs w:val="28"/>
                <w:lang w:val="vi"/>
              </w:rPr>
            </w:pPr>
            <w:r w:rsidRPr="004F3A6D">
              <w:rPr>
                <w:rFonts w:ascii="Times New Roman" w:eastAsia="Times New Roman" w:hAnsi="Times New Roman" w:cs="Times New Roman"/>
                <w:bCs/>
                <w:color w:val="000000"/>
                <w:sz w:val="28"/>
                <w:szCs w:val="28"/>
              </w:rPr>
              <w:t>10. Điều kiện</w:t>
            </w:r>
            <w:r w:rsidRPr="004F3A6D">
              <w:rPr>
                <w:rFonts w:ascii="Times New Roman" w:eastAsia="Times New Roman" w:hAnsi="Times New Roman" w:cs="Times New Roman"/>
                <w:bCs/>
                <w:color w:val="000000"/>
                <w:sz w:val="28"/>
                <w:szCs w:val="28"/>
                <w:lang w:val="vi"/>
              </w:rPr>
              <w:t xml:space="preserve"> xem xét khả năng thực hiện kỹ thuật thuộc danh mục kỹ thuật loại đặc biệt</w:t>
            </w:r>
          </w:p>
          <w:p w14:paraId="309CA2FA" w14:textId="77777777" w:rsidR="004F3A6D" w:rsidRPr="004F3A6D" w:rsidRDefault="004F3A6D" w:rsidP="004F3A6D">
            <w:pPr>
              <w:spacing w:after="0" w:line="360" w:lineRule="exact"/>
              <w:ind w:left="130" w:right="110"/>
              <w:jc w:val="both"/>
              <w:rPr>
                <w:rFonts w:ascii="Times New Roman" w:eastAsia="Times New Roman" w:hAnsi="Times New Roman" w:cs="Times New Roman"/>
                <w:color w:val="000000"/>
                <w:sz w:val="28"/>
                <w:szCs w:val="28"/>
              </w:rPr>
            </w:pPr>
            <w:r w:rsidRPr="004F3A6D">
              <w:rPr>
                <w:rFonts w:ascii="Times New Roman" w:eastAsia="Times New Roman" w:hAnsi="Times New Roman" w:cs="Times New Roman"/>
                <w:color w:val="000000"/>
                <w:sz w:val="28"/>
                <w:szCs w:val="28"/>
              </w:rPr>
              <w:t xml:space="preserve">a) Cơ sở khám bệnh, chữa bệnh nộp 01 bộ hồ sơ theo quy định tại khoản 2 Điều 64 Nghị định 96/2023/NĐ-CP gửi về Sở Y tế để </w:t>
            </w:r>
            <w:bookmarkStart w:id="1" w:name="_Hlk230509691"/>
            <w:r w:rsidRPr="004F3A6D">
              <w:rPr>
                <w:rFonts w:ascii="Times New Roman" w:eastAsia="Times New Roman" w:hAnsi="Times New Roman" w:cs="Times New Roman"/>
                <w:color w:val="000000"/>
                <w:sz w:val="28"/>
                <w:szCs w:val="28"/>
              </w:rPr>
              <w:t>đề nghị xem xét khả năng thực hiện kỹ thuật thuộc danh mục kỹ thuật loại đặc biệt</w:t>
            </w:r>
            <w:bookmarkEnd w:id="1"/>
            <w:r w:rsidRPr="004F3A6D">
              <w:rPr>
                <w:rFonts w:ascii="Times New Roman" w:eastAsia="Times New Roman" w:hAnsi="Times New Roman" w:cs="Times New Roman"/>
                <w:color w:val="000000"/>
                <w:sz w:val="28"/>
                <w:szCs w:val="28"/>
              </w:rPr>
              <w:t>.</w:t>
            </w:r>
          </w:p>
          <w:p w14:paraId="7DF86943" w14:textId="77777777" w:rsidR="00FC01B5" w:rsidRPr="00FC01B5" w:rsidRDefault="00FC01B5" w:rsidP="00FC01B5">
            <w:pPr>
              <w:spacing w:after="0" w:line="360" w:lineRule="exact"/>
              <w:ind w:left="130" w:right="110"/>
              <w:jc w:val="both"/>
              <w:rPr>
                <w:rFonts w:ascii="Times New Roman" w:eastAsia="Times New Roman" w:hAnsi="Times New Roman" w:cs="Times New Roman"/>
                <w:color w:val="000000"/>
                <w:sz w:val="28"/>
                <w:szCs w:val="28"/>
              </w:rPr>
            </w:pPr>
            <w:r w:rsidRPr="00FC01B5">
              <w:rPr>
                <w:rFonts w:ascii="Times New Roman" w:eastAsia="Times New Roman" w:hAnsi="Times New Roman" w:cs="Times New Roman"/>
                <w:color w:val="000000"/>
                <w:sz w:val="28"/>
                <w:szCs w:val="28"/>
              </w:rPr>
              <w:t xml:space="preserve">b) Trong thời hạn 05 ngày làm việc, kể từ ngày nhận hồ sơ, Sở Y tế kiểm tra đánh giá mức độ, khả năng thực hiện các kỹ thuật loại đặc biệt của cơ sở khám bệnh, chữa bệnh, báo cáo Ủy </w:t>
            </w:r>
            <w:r w:rsidRPr="00FC01B5">
              <w:rPr>
                <w:rFonts w:ascii="Times New Roman" w:eastAsia="Times New Roman" w:hAnsi="Times New Roman" w:cs="Times New Roman"/>
                <w:color w:val="000000"/>
                <w:sz w:val="28"/>
                <w:szCs w:val="28"/>
              </w:rPr>
              <w:lastRenderedPageBreak/>
              <w:t>ban nhân dân thành phố Quyết định việc thực hiện thí điểm hay không thí điểm.</w:t>
            </w:r>
          </w:p>
          <w:p w14:paraId="3DEB2175" w14:textId="77777777" w:rsidR="00FC01B5" w:rsidRPr="00FC01B5" w:rsidRDefault="00FC01B5" w:rsidP="00FC01B5">
            <w:pPr>
              <w:spacing w:after="0" w:line="360" w:lineRule="exact"/>
              <w:ind w:left="130" w:right="110"/>
              <w:jc w:val="both"/>
              <w:rPr>
                <w:rFonts w:ascii="Times New Roman" w:eastAsia="Times New Roman" w:hAnsi="Times New Roman" w:cs="Times New Roman"/>
                <w:color w:val="000000"/>
                <w:sz w:val="28"/>
                <w:szCs w:val="28"/>
              </w:rPr>
            </w:pPr>
            <w:r w:rsidRPr="00FC01B5">
              <w:rPr>
                <w:rFonts w:ascii="Times New Roman" w:eastAsia="Times New Roman" w:hAnsi="Times New Roman" w:cs="Times New Roman"/>
                <w:color w:val="000000"/>
                <w:sz w:val="28"/>
                <w:szCs w:val="28"/>
              </w:rPr>
              <w:t>c) Trường hợp cần phải thực hiện thí điểm kỹ thuật loại đặc biệt cần thực hiện theo quy trình quy định tại Điều 97, Nghị định 96/2023/NĐ-CP. Cơ sở khám bệnh, chữa bệnh đã kết thúc triển khai thí điểm kỹ thuật loại đặc biệt và đã có báo cáo bằng văn bản kết quả thực hiện thí điểm trong đó đề xuất việc triển khai chính thức kỹ thuật loại đặc biệt, cần phải thực hiện các nội dung sau:</w:t>
            </w:r>
          </w:p>
          <w:p w14:paraId="006F518F" w14:textId="77777777" w:rsidR="00FC01B5" w:rsidRPr="00FC01B5" w:rsidRDefault="00FC01B5" w:rsidP="00FC01B5">
            <w:pPr>
              <w:spacing w:after="0" w:line="360" w:lineRule="exact"/>
              <w:ind w:left="130" w:right="110"/>
              <w:jc w:val="both"/>
              <w:rPr>
                <w:rFonts w:ascii="Times New Roman" w:eastAsia="Times New Roman" w:hAnsi="Times New Roman" w:cs="Times New Roman"/>
                <w:color w:val="000000"/>
                <w:sz w:val="28"/>
                <w:szCs w:val="28"/>
              </w:rPr>
            </w:pPr>
            <w:r w:rsidRPr="00FC01B5">
              <w:rPr>
                <w:rFonts w:ascii="Times New Roman" w:eastAsia="Times New Roman" w:hAnsi="Times New Roman" w:cs="Times New Roman"/>
                <w:color w:val="000000"/>
                <w:sz w:val="28"/>
                <w:szCs w:val="28"/>
              </w:rPr>
              <w:t>- Cơ sở khám bệnh, chữa bệnh nộp 01 bộ hồ sơ trong đó có báo cáo kết quả áp dụng thí điểm kỹ thuật loại đặc biệt theo quy định tại điểm c khoản này và quy trình thực hiện kỹ thuật loại đặc biệt do cơ sở khám bệnh, chữa bệnh đề xuất;</w:t>
            </w:r>
          </w:p>
          <w:p w14:paraId="49989C70" w14:textId="77777777" w:rsidR="00FC01B5" w:rsidRPr="00FC01B5" w:rsidRDefault="00FC01B5" w:rsidP="00FC01B5">
            <w:pPr>
              <w:spacing w:after="0" w:line="360" w:lineRule="exact"/>
              <w:ind w:left="130" w:right="110"/>
              <w:jc w:val="both"/>
              <w:rPr>
                <w:rFonts w:ascii="Times New Roman" w:eastAsia="Times New Roman" w:hAnsi="Times New Roman" w:cs="Times New Roman"/>
                <w:color w:val="000000"/>
                <w:sz w:val="28"/>
                <w:szCs w:val="28"/>
              </w:rPr>
            </w:pPr>
            <w:r w:rsidRPr="00FC01B5">
              <w:rPr>
                <w:rFonts w:ascii="Times New Roman" w:eastAsia="Times New Roman" w:hAnsi="Times New Roman" w:cs="Times New Roman"/>
                <w:color w:val="000000"/>
                <w:sz w:val="28"/>
                <w:szCs w:val="28"/>
              </w:rPr>
              <w:t>- Trong thời hạn 15 ngày kể từ ngày nhận đủ hồ sơ, Bộ Y tế tổ chức thẩm định kết quả triển khai thí điểm và quy trình kỹ thuật do cơ sở khám bệnh, chữa bệnh đề xuất;</w:t>
            </w:r>
          </w:p>
          <w:p w14:paraId="7EB64515" w14:textId="77777777" w:rsidR="00FC01B5" w:rsidRPr="00FC01B5" w:rsidRDefault="00FC01B5" w:rsidP="00FC01B5">
            <w:pPr>
              <w:spacing w:after="0" w:line="360" w:lineRule="exact"/>
              <w:ind w:left="130" w:right="110"/>
              <w:jc w:val="both"/>
              <w:rPr>
                <w:rFonts w:ascii="Times New Roman" w:eastAsia="Times New Roman" w:hAnsi="Times New Roman" w:cs="Times New Roman"/>
                <w:color w:val="000000"/>
                <w:sz w:val="28"/>
                <w:szCs w:val="28"/>
              </w:rPr>
            </w:pPr>
            <w:r w:rsidRPr="00FC01B5">
              <w:rPr>
                <w:rFonts w:ascii="Times New Roman" w:eastAsia="Times New Roman" w:hAnsi="Times New Roman" w:cs="Times New Roman"/>
                <w:color w:val="000000"/>
                <w:sz w:val="28"/>
                <w:szCs w:val="28"/>
              </w:rPr>
              <w:t xml:space="preserve">- Trong thời hạn 05 ngày làm việc, kể từ ngày có biên bản thẩm định kết quả triển khai thí điểm và quy trình kỹ thuật, Bộ Y tế quyết định </w:t>
            </w:r>
            <w:r w:rsidRPr="00FC01B5">
              <w:rPr>
                <w:rFonts w:ascii="Times New Roman" w:eastAsia="Times New Roman" w:hAnsi="Times New Roman" w:cs="Times New Roman"/>
                <w:color w:val="000000"/>
                <w:sz w:val="28"/>
                <w:szCs w:val="28"/>
              </w:rPr>
              <w:lastRenderedPageBreak/>
              <w:t>cho phép cơ sở khám bệnh, chữa bệnh được triển khai áp dụng chính thức kỹ thuật loại đặc biệt. Trường hợp không đồng ý phải có văn bản trả lời và nêu rõ lý do;</w:t>
            </w:r>
          </w:p>
          <w:p w14:paraId="31853E7A" w14:textId="77777777" w:rsidR="00FC01B5" w:rsidRPr="00FC01B5" w:rsidRDefault="00FC01B5" w:rsidP="00FC01B5">
            <w:pPr>
              <w:spacing w:after="0" w:line="360" w:lineRule="exact"/>
              <w:ind w:left="130" w:right="110"/>
              <w:jc w:val="both"/>
              <w:rPr>
                <w:rFonts w:ascii="Times New Roman" w:eastAsia="Times New Roman" w:hAnsi="Times New Roman" w:cs="Times New Roman"/>
                <w:color w:val="000000"/>
                <w:sz w:val="28"/>
                <w:szCs w:val="28"/>
              </w:rPr>
            </w:pPr>
            <w:r w:rsidRPr="00FC01B5">
              <w:rPr>
                <w:rFonts w:ascii="Times New Roman" w:eastAsia="Times New Roman" w:hAnsi="Times New Roman" w:cs="Times New Roman"/>
                <w:color w:val="000000"/>
                <w:sz w:val="28"/>
                <w:szCs w:val="28"/>
              </w:rPr>
              <w:t>- Cơ sở khám bệnh, chữa bệnh thực hiện thủ tục theo quy định từ khoản 1 đến khoản 9, Điều 66, Nghị định số 96/2023/NĐ-CP để thực hiện bổ sung kỹ thuật loại đặc biệt đã được cho phép triển khai áp dụng chính thức vào phạm vi hoạt động chuyên môn.</w:t>
            </w:r>
          </w:p>
          <w:p w14:paraId="4F2415AE" w14:textId="2810E260" w:rsidR="00111F5D" w:rsidRPr="00111F5D" w:rsidRDefault="00E9712F" w:rsidP="00E9712F">
            <w:pPr>
              <w:spacing w:after="0" w:line="360" w:lineRule="exact"/>
              <w:ind w:left="130" w:right="110"/>
              <w:jc w:val="both"/>
              <w:rPr>
                <w:rFonts w:ascii="Times New Roman" w:eastAsia="Times New Roman" w:hAnsi="Times New Roman" w:cs="Times New Roman"/>
                <w:color w:val="000000"/>
                <w:sz w:val="28"/>
                <w:szCs w:val="28"/>
              </w:rPr>
            </w:pPr>
            <w:r w:rsidRPr="00E9712F">
              <w:rPr>
                <w:rFonts w:ascii="Times New Roman" w:eastAsia="Times New Roman" w:hAnsi="Times New Roman" w:cs="Times New Roman"/>
                <w:color w:val="000000"/>
                <w:sz w:val="28"/>
                <w:szCs w:val="28"/>
              </w:rPr>
              <w:t>d) Trường hợp không cần phải thực hiện thí điểm kỹ thuật loại đặc biệt, trong thời gian 05 ngày làm việc Sở Y tế trình Ủy ban nhân dân thành phố Hà Nội có quyết định cho phép cơ sở khám bệnh, chữa bệnh được áp dụng chính thức kỹ thuật loại đặc biệt mà không cần phải thực hiện thí điểm. Trường hợp không đồng ý phải có văn bản trả lời và nêu rõ lý do./.</w:t>
            </w:r>
          </w:p>
        </w:tc>
        <w:tc>
          <w:tcPr>
            <w:tcW w:w="2139" w:type="pct"/>
          </w:tcPr>
          <w:p w14:paraId="34BFE06B" w14:textId="2873F4BB" w:rsidR="007F24CD" w:rsidRPr="007F24CD" w:rsidRDefault="007F24CD" w:rsidP="004F3A6D">
            <w:pPr>
              <w:spacing w:after="0" w:line="360" w:lineRule="exact"/>
              <w:ind w:left="130" w:right="110"/>
              <w:jc w:val="both"/>
              <w:rPr>
                <w:rFonts w:ascii="Times New Roman" w:eastAsia="Times New Roman" w:hAnsi="Times New Roman" w:cs="Times New Roman"/>
                <w:color w:val="000000"/>
                <w:sz w:val="28"/>
                <w:szCs w:val="28"/>
              </w:rPr>
            </w:pPr>
            <w:r w:rsidRPr="007F24CD">
              <w:rPr>
                <w:rFonts w:ascii="Times New Roman" w:eastAsia="Times New Roman" w:hAnsi="Times New Roman" w:cs="Times New Roman"/>
                <w:color w:val="000000"/>
                <w:sz w:val="28"/>
                <w:szCs w:val="28"/>
              </w:rPr>
              <w:lastRenderedPageBreak/>
              <w:t xml:space="preserve">Nội dung này được xây dựng trên cơ sở kế thừa quy định tại Điều 64, Điều 66 và Điều 97 Nghị định số 96/2023/NĐ-CP, đồng thời cụ thể hóa thẩm quyền của Chủ tịch UBND Thành phố theo quy định của </w:t>
            </w:r>
            <w:r w:rsidR="00893D75">
              <w:rPr>
                <w:rFonts w:ascii="Times New Roman" w:eastAsia="Times New Roman" w:hAnsi="Times New Roman" w:cs="Times New Roman"/>
                <w:color w:val="000000"/>
                <w:sz w:val="28"/>
                <w:szCs w:val="28"/>
              </w:rPr>
              <w:t xml:space="preserve">điể a, Khoản 2, Điều 17, </w:t>
            </w:r>
            <w:r w:rsidRPr="007F24CD">
              <w:rPr>
                <w:rFonts w:ascii="Times New Roman" w:eastAsia="Times New Roman" w:hAnsi="Times New Roman" w:cs="Times New Roman"/>
                <w:color w:val="000000"/>
                <w:sz w:val="28"/>
                <w:szCs w:val="28"/>
              </w:rPr>
              <w:t>Luật Thủ đô số 02/2026/QH16.</w:t>
            </w:r>
          </w:p>
          <w:p w14:paraId="404BDD57" w14:textId="77777777" w:rsidR="00111F5D" w:rsidRDefault="007F24CD" w:rsidP="004F3A6D">
            <w:pPr>
              <w:spacing w:after="0" w:line="360" w:lineRule="exact"/>
              <w:ind w:left="130" w:right="110"/>
              <w:jc w:val="both"/>
              <w:rPr>
                <w:rFonts w:ascii="Times New Roman" w:eastAsia="Times New Roman" w:hAnsi="Times New Roman" w:cs="Times New Roman"/>
                <w:color w:val="000000"/>
                <w:sz w:val="28"/>
                <w:szCs w:val="28"/>
              </w:rPr>
            </w:pPr>
            <w:r w:rsidRPr="007F24CD">
              <w:rPr>
                <w:rFonts w:ascii="Times New Roman" w:eastAsia="Times New Roman" w:hAnsi="Times New Roman" w:cs="Times New Roman"/>
                <w:color w:val="000000"/>
                <w:sz w:val="28"/>
                <w:szCs w:val="28"/>
              </w:rPr>
              <w:t>Việc quy định thủ tục xem xét khả năng thực hiện kỹ thuật loại đặc biệt nhằm bảo đảm đánh giá đầy đủ năng lực chuyên môn, cơ sở vật chất, nhân lực, trang thiết bị của cơ sở khám bệnh, chữa bệnh trước khi cho phép triển khai kỹ thuật loại đặc biệt; đồng thời tăng cường phân cấp, giảm tải cho cơ quan trung ương, đáp ứng yêu cầu thực tiễn phát triển y tế chuyên sâu của Thủ đô.</w:t>
            </w:r>
          </w:p>
          <w:p w14:paraId="3660A56E" w14:textId="2E805D4C" w:rsidR="004F3A6D" w:rsidRPr="003C3F50" w:rsidRDefault="004F3A6D" w:rsidP="004F3A6D">
            <w:pPr>
              <w:spacing w:after="0" w:line="360" w:lineRule="exact"/>
              <w:ind w:left="130" w:right="110"/>
              <w:jc w:val="both"/>
              <w:rPr>
                <w:rFonts w:ascii="Times New Roman" w:eastAsia="Times New Roman" w:hAnsi="Times New Roman" w:cs="Times New Roman"/>
                <w:color w:val="000000"/>
                <w:sz w:val="28"/>
                <w:szCs w:val="28"/>
              </w:rPr>
            </w:pPr>
            <w:r w:rsidRPr="004F3A6D">
              <w:rPr>
                <w:rFonts w:ascii="Times New Roman" w:eastAsia="Times New Roman" w:hAnsi="Times New Roman" w:cs="Times New Roman"/>
                <w:color w:val="000000"/>
                <w:sz w:val="28"/>
                <w:szCs w:val="28"/>
              </w:rPr>
              <w:t>Việc quy định cụ thể trình tự, thời hạn giải quyết hồ sơ giúp minh bạch hóa thủ tục hành chính, tạo điều kiện thuận lợi cho cơ sở khám bệnh, chữa bệnh trong quá trình đề nghị điều chỉnh danh mục kỹ thuật đặc biệt; đồng thời nâng cao trách nhiệm của cơ quan quản lý nhà nước trong công tác tiếp nhận, thẩm định và giải quyết hồ sơ.</w:t>
            </w:r>
          </w:p>
        </w:tc>
      </w:tr>
      <w:tr w:rsidR="004F3A6D" w:rsidRPr="00111F5D" w14:paraId="33888DDA" w14:textId="77777777" w:rsidTr="00D73E3A">
        <w:trPr>
          <w:tblCellSpacing w:w="0" w:type="dxa"/>
        </w:trPr>
        <w:tc>
          <w:tcPr>
            <w:tcW w:w="919" w:type="pct"/>
            <w:vAlign w:val="center"/>
            <w:hideMark/>
          </w:tcPr>
          <w:p w14:paraId="7307BBF7" w14:textId="6B4DAEF2" w:rsidR="004F3A6D" w:rsidRPr="00111F5D" w:rsidRDefault="004F3A6D" w:rsidP="004F3A6D">
            <w:pPr>
              <w:spacing w:after="0" w:line="360" w:lineRule="exact"/>
              <w:rPr>
                <w:rFonts w:ascii="Times New Roman" w:eastAsia="Times New Roman" w:hAnsi="Times New Roman" w:cs="Times New Roman"/>
                <w:color w:val="000000"/>
                <w:sz w:val="28"/>
                <w:szCs w:val="28"/>
              </w:rPr>
            </w:pPr>
            <w:r w:rsidRPr="00184604">
              <w:rPr>
                <w:rFonts w:ascii="Times New Roman" w:eastAsia="Times New Roman" w:hAnsi="Times New Roman" w:cs="Times New Roman"/>
                <w:b/>
                <w:bCs/>
                <w:color w:val="000000"/>
                <w:sz w:val="28"/>
                <w:szCs w:val="28"/>
              </w:rPr>
              <w:lastRenderedPageBreak/>
              <w:t xml:space="preserve">Điều 3. </w:t>
            </w:r>
            <w:r w:rsidRPr="005722C8">
              <w:rPr>
                <w:rFonts w:ascii="Times New Roman" w:eastAsia="Times New Roman" w:hAnsi="Times New Roman" w:cs="Times New Roman"/>
                <w:b/>
                <w:bCs/>
                <w:color w:val="000000"/>
                <w:sz w:val="28"/>
                <w:szCs w:val="28"/>
              </w:rPr>
              <w:t>Điều khoản thi hành.</w:t>
            </w:r>
          </w:p>
        </w:tc>
        <w:tc>
          <w:tcPr>
            <w:tcW w:w="1942" w:type="pct"/>
            <w:vAlign w:val="center"/>
          </w:tcPr>
          <w:p w14:paraId="65D29C9C" w14:textId="77777777" w:rsidR="004F3A6D" w:rsidRPr="005722C8" w:rsidRDefault="004F3A6D" w:rsidP="004F3A6D">
            <w:pPr>
              <w:spacing w:after="0" w:line="360" w:lineRule="exact"/>
              <w:ind w:left="121" w:right="132"/>
              <w:jc w:val="both"/>
              <w:rPr>
                <w:rFonts w:ascii="Times New Roman" w:eastAsia="Times New Roman" w:hAnsi="Times New Roman" w:cs="Times New Roman"/>
                <w:color w:val="000000"/>
                <w:sz w:val="28"/>
                <w:szCs w:val="28"/>
              </w:rPr>
            </w:pPr>
            <w:r w:rsidRPr="005722C8">
              <w:rPr>
                <w:rFonts w:ascii="Times New Roman" w:eastAsia="Times New Roman" w:hAnsi="Times New Roman" w:cs="Times New Roman"/>
                <w:color w:val="000000"/>
                <w:sz w:val="28"/>
                <w:szCs w:val="28"/>
              </w:rPr>
              <w:t>Quyết định này có hiệu lực thi hành kể từ ngày 01 tháng 7 năm 2026.</w:t>
            </w:r>
          </w:p>
          <w:p w14:paraId="5BCEFCD7" w14:textId="77777777" w:rsidR="004F3A6D" w:rsidRPr="005722C8" w:rsidRDefault="004F3A6D" w:rsidP="004F3A6D">
            <w:pPr>
              <w:spacing w:after="0" w:line="360" w:lineRule="exact"/>
              <w:ind w:left="121" w:right="132"/>
              <w:jc w:val="both"/>
              <w:rPr>
                <w:rFonts w:ascii="Times New Roman" w:eastAsia="Times New Roman" w:hAnsi="Times New Roman" w:cs="Times New Roman"/>
                <w:color w:val="000000"/>
                <w:sz w:val="28"/>
                <w:szCs w:val="28"/>
              </w:rPr>
            </w:pPr>
            <w:r w:rsidRPr="005722C8">
              <w:rPr>
                <w:rFonts w:ascii="Times New Roman" w:eastAsia="Times New Roman" w:hAnsi="Times New Roman" w:cs="Times New Roman"/>
                <w:color w:val="000000"/>
                <w:sz w:val="28"/>
                <w:szCs w:val="28"/>
              </w:rPr>
              <w:t>Trong quá trình thực hiện, trường hợp văn bản quy phạm pháp luật căn cứ tại Quyết định này được sửa đổi, bổ sung hoặc thay thế thì thực hiện theo văn bản mới ban hành.</w:t>
            </w:r>
          </w:p>
          <w:p w14:paraId="0AC2E91F" w14:textId="2EC69AB9" w:rsidR="004F3A6D" w:rsidRPr="00111F5D" w:rsidRDefault="004F3A6D" w:rsidP="004F3A6D">
            <w:pPr>
              <w:spacing w:after="0" w:line="360" w:lineRule="exact"/>
              <w:ind w:left="121" w:right="132"/>
              <w:jc w:val="both"/>
              <w:rPr>
                <w:rFonts w:ascii="Times New Roman" w:eastAsia="Times New Roman" w:hAnsi="Times New Roman" w:cs="Times New Roman"/>
                <w:color w:val="000000"/>
                <w:sz w:val="28"/>
                <w:szCs w:val="28"/>
              </w:rPr>
            </w:pPr>
            <w:r w:rsidRPr="007F24CD">
              <w:rPr>
                <w:rFonts w:ascii="Times New Roman" w:eastAsia="Times New Roman" w:hAnsi="Times New Roman" w:cs="Times New Roman"/>
                <w:color w:val="000000"/>
                <w:sz w:val="28"/>
                <w:szCs w:val="28"/>
              </w:rPr>
              <w:lastRenderedPageBreak/>
              <w:t>Các nội dung khác liên quan đến việc áp dụng kỹ thuật loại đặc biệt không quy định tại Quyết định này được thực hiện theo quy định của pháp luật hiện hành.</w:t>
            </w:r>
          </w:p>
        </w:tc>
        <w:tc>
          <w:tcPr>
            <w:tcW w:w="2139" w:type="pct"/>
            <w:vAlign w:val="center"/>
          </w:tcPr>
          <w:p w14:paraId="142A8426" w14:textId="77777777" w:rsidR="004F3A6D" w:rsidRPr="00C91D1C" w:rsidRDefault="004F3A6D" w:rsidP="004F3A6D">
            <w:pPr>
              <w:spacing w:after="0" w:line="360" w:lineRule="exact"/>
              <w:ind w:left="121" w:right="132"/>
              <w:jc w:val="both"/>
              <w:rPr>
                <w:rFonts w:ascii="Times New Roman" w:eastAsia="Times New Roman" w:hAnsi="Times New Roman" w:cs="Times New Roman"/>
                <w:i/>
                <w:iCs/>
                <w:color w:val="000000"/>
                <w:sz w:val="28"/>
                <w:szCs w:val="28"/>
                <w:lang w:val="en"/>
              </w:rPr>
            </w:pPr>
            <w:r>
              <w:rPr>
                <w:rFonts w:ascii="Times New Roman" w:eastAsia="Times New Roman" w:hAnsi="Times New Roman" w:cs="Times New Roman"/>
                <w:color w:val="000000"/>
                <w:sz w:val="28"/>
                <w:szCs w:val="28"/>
                <w:lang w:val="en"/>
              </w:rPr>
              <w:lastRenderedPageBreak/>
              <w:t xml:space="preserve">Căn cứ quy định tại </w:t>
            </w:r>
            <w:r w:rsidRPr="00946540">
              <w:rPr>
                <w:rFonts w:ascii="Times New Roman" w:eastAsia="Times New Roman" w:hAnsi="Times New Roman" w:cs="Times New Roman"/>
                <w:color w:val="000000"/>
                <w:sz w:val="28"/>
                <w:szCs w:val="28"/>
              </w:rPr>
              <w:t>Khoản</w:t>
            </w:r>
            <w:r>
              <w:rPr>
                <w:rFonts w:ascii="Times New Roman" w:eastAsia="Times New Roman" w:hAnsi="Times New Roman" w:cs="Times New Roman"/>
                <w:color w:val="000000"/>
                <w:sz w:val="28"/>
                <w:szCs w:val="28"/>
                <w:lang w:val="en"/>
              </w:rPr>
              <w:t xml:space="preserve"> 1, Điều 35, Luật Thủ đô số 02/2026/QH16, </w:t>
            </w:r>
            <w:r w:rsidRPr="00893D75">
              <w:rPr>
                <w:rFonts w:ascii="Times New Roman" w:eastAsia="Times New Roman" w:hAnsi="Times New Roman" w:cs="Times New Roman"/>
                <w:color w:val="000000"/>
                <w:sz w:val="28"/>
                <w:szCs w:val="28"/>
                <w:lang w:val="en"/>
              </w:rPr>
              <w:t>Hiệu lực thi hành</w:t>
            </w:r>
            <w:r>
              <w:rPr>
                <w:rFonts w:ascii="Times New Roman" w:eastAsia="Times New Roman" w:hAnsi="Times New Roman" w:cs="Times New Roman"/>
                <w:color w:val="000000"/>
                <w:sz w:val="28"/>
                <w:szCs w:val="28"/>
                <w:lang w:val="en"/>
              </w:rPr>
              <w:t xml:space="preserve">: </w:t>
            </w:r>
            <w:r w:rsidRPr="00C91D1C">
              <w:rPr>
                <w:rFonts w:ascii="Times New Roman" w:eastAsia="Times New Roman" w:hAnsi="Times New Roman" w:cs="Times New Roman"/>
                <w:i/>
                <w:iCs/>
                <w:color w:val="000000"/>
                <w:sz w:val="28"/>
                <w:szCs w:val="28"/>
                <w:lang w:val="en"/>
              </w:rPr>
              <w:t>“1. Luật này có hiệu lực thi hành từ ngày 01 tháng 7 năm 2026,”</w:t>
            </w:r>
          </w:p>
          <w:p w14:paraId="7275FD6F" w14:textId="3E1C7095" w:rsidR="004F3A6D" w:rsidRPr="00111F5D" w:rsidRDefault="004F3A6D" w:rsidP="004F3A6D">
            <w:pPr>
              <w:spacing w:after="0" w:line="360" w:lineRule="exact"/>
              <w:ind w:left="130" w:right="110"/>
              <w:jc w:val="both"/>
              <w:rPr>
                <w:rFonts w:ascii="Times New Roman" w:eastAsia="Times New Roman" w:hAnsi="Times New Roman" w:cs="Times New Roman"/>
                <w:color w:val="000000"/>
                <w:sz w:val="28"/>
                <w:szCs w:val="28"/>
              </w:rPr>
            </w:pPr>
            <w:r w:rsidRPr="00893D75">
              <w:rPr>
                <w:rFonts w:ascii="Times New Roman" w:eastAsia="Times New Roman" w:hAnsi="Times New Roman" w:cs="Times New Roman"/>
                <w:color w:val="000000"/>
                <w:sz w:val="28"/>
                <w:szCs w:val="28"/>
                <w:lang w:val="en"/>
              </w:rPr>
              <w:t xml:space="preserve">Quy định điều khoản thi hành nhằm xác định thời điểm có hiệu lực của văn bản, bảo đảm tính rõ ràng, </w:t>
            </w:r>
            <w:r w:rsidRPr="00893D75">
              <w:rPr>
                <w:rFonts w:ascii="Times New Roman" w:eastAsia="Times New Roman" w:hAnsi="Times New Roman" w:cs="Times New Roman"/>
                <w:color w:val="000000"/>
                <w:sz w:val="28"/>
                <w:szCs w:val="28"/>
                <w:lang w:val="en"/>
              </w:rPr>
              <w:lastRenderedPageBreak/>
              <w:t>thống nhất trong quá trình áp dụng. Đồng thời, quy định nguyên tắc áp dụng văn bản sửa đổi, bổ sung hoặc thay thế nhằm bảo đảm tính linh hoạt, phù hợp với hệ thống pháp luật hiện hành.</w:t>
            </w:r>
          </w:p>
        </w:tc>
      </w:tr>
      <w:tr w:rsidR="004F3A6D" w:rsidRPr="00111F5D" w14:paraId="78457A05" w14:textId="77777777" w:rsidTr="00F621AB">
        <w:trPr>
          <w:tblCellSpacing w:w="0" w:type="dxa"/>
        </w:trPr>
        <w:tc>
          <w:tcPr>
            <w:tcW w:w="919" w:type="pct"/>
            <w:vAlign w:val="center"/>
          </w:tcPr>
          <w:p w14:paraId="03E6BB09" w14:textId="67DE6B3F" w:rsidR="004F3A6D" w:rsidRPr="00184604" w:rsidRDefault="004F3A6D" w:rsidP="004F3A6D">
            <w:pPr>
              <w:spacing w:after="0" w:line="360" w:lineRule="exact"/>
              <w:rPr>
                <w:rFonts w:ascii="Times New Roman" w:eastAsia="Times New Roman" w:hAnsi="Times New Roman" w:cs="Times New Roman"/>
                <w:b/>
                <w:bCs/>
                <w:color w:val="000000"/>
                <w:sz w:val="28"/>
                <w:szCs w:val="28"/>
              </w:rPr>
            </w:pPr>
            <w:r w:rsidRPr="00EF477B">
              <w:rPr>
                <w:rFonts w:ascii="Times New Roman" w:eastAsia="Times New Roman" w:hAnsi="Times New Roman" w:cs="Times New Roman"/>
                <w:b/>
                <w:bCs/>
                <w:color w:val="000000"/>
                <w:sz w:val="28"/>
                <w:szCs w:val="28"/>
              </w:rPr>
              <w:lastRenderedPageBreak/>
              <w:t xml:space="preserve">Điều 4. </w:t>
            </w:r>
            <w:r w:rsidRPr="005722C8">
              <w:rPr>
                <w:rFonts w:ascii="Times New Roman" w:eastAsia="Times New Roman" w:hAnsi="Times New Roman" w:cs="Times New Roman"/>
                <w:b/>
                <w:bCs/>
                <w:color w:val="000000"/>
                <w:sz w:val="28"/>
                <w:szCs w:val="28"/>
              </w:rPr>
              <w:t>Tổ chức thực hiện.</w:t>
            </w:r>
          </w:p>
        </w:tc>
        <w:tc>
          <w:tcPr>
            <w:tcW w:w="1942" w:type="pct"/>
            <w:vAlign w:val="center"/>
          </w:tcPr>
          <w:p w14:paraId="678BC59B" w14:textId="77777777" w:rsidR="004F3A6D" w:rsidRPr="007F24CD" w:rsidRDefault="004F3A6D" w:rsidP="004F3A6D">
            <w:pPr>
              <w:spacing w:after="0" w:line="360" w:lineRule="exact"/>
              <w:ind w:left="121" w:right="132"/>
              <w:jc w:val="both"/>
              <w:rPr>
                <w:rFonts w:ascii="Times New Roman" w:eastAsia="Times New Roman" w:hAnsi="Times New Roman" w:cs="Times New Roman"/>
                <w:color w:val="000000"/>
                <w:sz w:val="28"/>
                <w:szCs w:val="28"/>
              </w:rPr>
            </w:pPr>
            <w:r w:rsidRPr="007F24CD">
              <w:rPr>
                <w:rFonts w:ascii="Times New Roman" w:eastAsia="Times New Roman" w:hAnsi="Times New Roman" w:cs="Times New Roman"/>
                <w:color w:val="000000"/>
                <w:sz w:val="28"/>
                <w:szCs w:val="28"/>
              </w:rPr>
              <w:t>1. Sở Y tế có trách nhiệm:</w:t>
            </w:r>
          </w:p>
          <w:p w14:paraId="7828C2AB" w14:textId="77777777" w:rsidR="004F3A6D" w:rsidRPr="007F24CD" w:rsidRDefault="004F3A6D" w:rsidP="004F3A6D">
            <w:pPr>
              <w:spacing w:after="0" w:line="360" w:lineRule="exact"/>
              <w:ind w:left="121" w:right="132"/>
              <w:jc w:val="both"/>
              <w:rPr>
                <w:rFonts w:ascii="Times New Roman" w:eastAsia="Times New Roman" w:hAnsi="Times New Roman" w:cs="Times New Roman"/>
                <w:color w:val="000000"/>
                <w:sz w:val="28"/>
                <w:szCs w:val="28"/>
              </w:rPr>
            </w:pPr>
            <w:r w:rsidRPr="007F24CD">
              <w:rPr>
                <w:rFonts w:ascii="Times New Roman" w:eastAsia="Times New Roman" w:hAnsi="Times New Roman" w:cs="Times New Roman"/>
                <w:color w:val="000000"/>
                <w:sz w:val="28"/>
                <w:szCs w:val="28"/>
              </w:rPr>
              <w:t>a) Chủ trì hướng dẫn, tổ chức triển khai thực hiện Quyết định này;</w:t>
            </w:r>
          </w:p>
          <w:p w14:paraId="4EC10186" w14:textId="77777777" w:rsidR="004F3A6D" w:rsidRPr="007F24CD" w:rsidRDefault="004F3A6D" w:rsidP="004F3A6D">
            <w:pPr>
              <w:spacing w:after="0" w:line="360" w:lineRule="exact"/>
              <w:ind w:left="121" w:right="132"/>
              <w:jc w:val="both"/>
              <w:rPr>
                <w:rFonts w:ascii="Times New Roman" w:eastAsia="Times New Roman" w:hAnsi="Times New Roman" w:cs="Times New Roman"/>
                <w:color w:val="000000"/>
                <w:sz w:val="28"/>
                <w:szCs w:val="28"/>
              </w:rPr>
            </w:pPr>
            <w:r w:rsidRPr="007F24CD">
              <w:rPr>
                <w:rFonts w:ascii="Times New Roman" w:eastAsia="Times New Roman" w:hAnsi="Times New Roman" w:cs="Times New Roman"/>
                <w:color w:val="000000"/>
                <w:sz w:val="28"/>
                <w:szCs w:val="28"/>
              </w:rPr>
              <w:t>b) Tiếp nhận, thẩm định hồ sơ đề nghị áp dụng kỹ thuật loại đặc biệt của các cơ sở khám bệnh, chữa bệnh;</w:t>
            </w:r>
          </w:p>
          <w:p w14:paraId="5D643EA1" w14:textId="77777777" w:rsidR="004F3A6D" w:rsidRPr="007F24CD" w:rsidRDefault="004F3A6D" w:rsidP="004F3A6D">
            <w:pPr>
              <w:spacing w:after="0" w:line="360" w:lineRule="exact"/>
              <w:ind w:left="121" w:right="132"/>
              <w:jc w:val="both"/>
              <w:rPr>
                <w:rFonts w:ascii="Times New Roman" w:eastAsia="Times New Roman" w:hAnsi="Times New Roman" w:cs="Times New Roman"/>
                <w:color w:val="000000"/>
                <w:sz w:val="28"/>
                <w:szCs w:val="28"/>
              </w:rPr>
            </w:pPr>
            <w:r w:rsidRPr="007F24CD">
              <w:rPr>
                <w:rFonts w:ascii="Times New Roman" w:eastAsia="Times New Roman" w:hAnsi="Times New Roman" w:cs="Times New Roman"/>
                <w:color w:val="000000"/>
                <w:sz w:val="28"/>
                <w:szCs w:val="28"/>
              </w:rPr>
              <w:t>c) Trình Chủ tịch Ủy ban nhân dân Thành phố xem xét, quyết định cho phép áp dụng kỹ thuật loại đặc biệt;</w:t>
            </w:r>
          </w:p>
          <w:p w14:paraId="69C3953B" w14:textId="77777777" w:rsidR="004F3A6D" w:rsidRPr="007F24CD" w:rsidRDefault="004F3A6D" w:rsidP="004F3A6D">
            <w:pPr>
              <w:spacing w:after="0" w:line="360" w:lineRule="exact"/>
              <w:ind w:left="121" w:right="132"/>
              <w:jc w:val="both"/>
              <w:rPr>
                <w:rFonts w:ascii="Times New Roman" w:eastAsia="Times New Roman" w:hAnsi="Times New Roman" w:cs="Times New Roman"/>
                <w:color w:val="000000"/>
                <w:sz w:val="28"/>
                <w:szCs w:val="28"/>
              </w:rPr>
            </w:pPr>
            <w:r w:rsidRPr="007F24CD">
              <w:rPr>
                <w:rFonts w:ascii="Times New Roman" w:eastAsia="Times New Roman" w:hAnsi="Times New Roman" w:cs="Times New Roman"/>
                <w:color w:val="000000"/>
                <w:sz w:val="28"/>
                <w:szCs w:val="28"/>
              </w:rPr>
              <w:t xml:space="preserve">d) Kiểm tra, giám sát việc tổ chức thực hiện kỹ thuật loại đặc biệt tại các cơ sở khám bệnh, chữa bệnh theo quy định. </w:t>
            </w:r>
          </w:p>
          <w:p w14:paraId="0F40E41C" w14:textId="77777777" w:rsidR="004F3A6D" w:rsidRPr="007F24CD" w:rsidRDefault="004F3A6D" w:rsidP="004F3A6D">
            <w:pPr>
              <w:spacing w:after="0" w:line="360" w:lineRule="exact"/>
              <w:ind w:left="121" w:right="132"/>
              <w:jc w:val="both"/>
              <w:rPr>
                <w:rFonts w:ascii="Times New Roman" w:eastAsia="Times New Roman" w:hAnsi="Times New Roman" w:cs="Times New Roman"/>
                <w:color w:val="000000"/>
                <w:sz w:val="28"/>
                <w:szCs w:val="28"/>
              </w:rPr>
            </w:pPr>
            <w:r w:rsidRPr="007F24CD">
              <w:rPr>
                <w:rFonts w:ascii="Times New Roman" w:eastAsia="Times New Roman" w:hAnsi="Times New Roman" w:cs="Times New Roman"/>
                <w:color w:val="000000"/>
                <w:sz w:val="28"/>
                <w:szCs w:val="28"/>
              </w:rPr>
              <w:t>2. Các cơ sở khám bệnh, chữa bệnh do thành phố quản lý về chuyên môn có trách nhiệm:</w:t>
            </w:r>
          </w:p>
          <w:p w14:paraId="477BBA52" w14:textId="77777777" w:rsidR="004F3A6D" w:rsidRPr="007F24CD" w:rsidRDefault="004F3A6D" w:rsidP="004F3A6D">
            <w:pPr>
              <w:spacing w:after="0" w:line="360" w:lineRule="exact"/>
              <w:ind w:left="121" w:right="132"/>
              <w:jc w:val="both"/>
              <w:rPr>
                <w:rFonts w:ascii="Times New Roman" w:eastAsia="Times New Roman" w:hAnsi="Times New Roman" w:cs="Times New Roman"/>
                <w:color w:val="000000"/>
                <w:sz w:val="28"/>
                <w:szCs w:val="28"/>
              </w:rPr>
            </w:pPr>
            <w:r w:rsidRPr="007F24CD">
              <w:rPr>
                <w:rFonts w:ascii="Times New Roman" w:eastAsia="Times New Roman" w:hAnsi="Times New Roman" w:cs="Times New Roman"/>
                <w:color w:val="000000"/>
                <w:sz w:val="28"/>
                <w:szCs w:val="28"/>
              </w:rPr>
              <w:t>a) Lập hồ sơ đề nghị áp dụng kỹ thuật loại đặc biệt theo quy định;</w:t>
            </w:r>
          </w:p>
          <w:p w14:paraId="70A7C5CF" w14:textId="77777777" w:rsidR="004F3A6D" w:rsidRPr="007F24CD" w:rsidRDefault="004F3A6D" w:rsidP="004F3A6D">
            <w:pPr>
              <w:spacing w:after="0" w:line="360" w:lineRule="exact"/>
              <w:ind w:left="121" w:right="132"/>
              <w:jc w:val="both"/>
              <w:rPr>
                <w:rFonts w:ascii="Times New Roman" w:eastAsia="Times New Roman" w:hAnsi="Times New Roman" w:cs="Times New Roman"/>
                <w:color w:val="000000"/>
                <w:sz w:val="28"/>
                <w:szCs w:val="28"/>
              </w:rPr>
            </w:pPr>
            <w:r w:rsidRPr="007F24CD">
              <w:rPr>
                <w:rFonts w:ascii="Times New Roman" w:eastAsia="Times New Roman" w:hAnsi="Times New Roman" w:cs="Times New Roman"/>
                <w:color w:val="000000"/>
                <w:sz w:val="28"/>
                <w:szCs w:val="28"/>
              </w:rPr>
              <w:t>b) Bảo đảm đầy đủ điều kiện về nhân lực, cơ sở vật chất, trang thiết bị và các điều kiện chuyên môn khác theo quy định của pháp luật;</w:t>
            </w:r>
          </w:p>
          <w:p w14:paraId="6F5C9739" w14:textId="77777777" w:rsidR="004F3A6D" w:rsidRPr="007F24CD" w:rsidRDefault="004F3A6D" w:rsidP="004F3A6D">
            <w:pPr>
              <w:spacing w:after="0" w:line="360" w:lineRule="exact"/>
              <w:ind w:left="121" w:right="132"/>
              <w:jc w:val="both"/>
              <w:rPr>
                <w:rFonts w:ascii="Times New Roman" w:eastAsia="Times New Roman" w:hAnsi="Times New Roman" w:cs="Times New Roman"/>
                <w:color w:val="000000"/>
                <w:sz w:val="28"/>
                <w:szCs w:val="28"/>
              </w:rPr>
            </w:pPr>
            <w:r w:rsidRPr="007F24CD">
              <w:rPr>
                <w:rFonts w:ascii="Times New Roman" w:eastAsia="Times New Roman" w:hAnsi="Times New Roman" w:cs="Times New Roman"/>
                <w:color w:val="000000"/>
                <w:sz w:val="28"/>
                <w:szCs w:val="28"/>
              </w:rPr>
              <w:lastRenderedPageBreak/>
              <w:t>c) Chịu trách nhiệm về tính chính xác của hồ sơ và việc tổ chức thực hiện kỹ thuật được cho phép áp dụng.</w:t>
            </w:r>
          </w:p>
          <w:p w14:paraId="45A1F574" w14:textId="4E225DD1" w:rsidR="004F3A6D" w:rsidRPr="00973550" w:rsidRDefault="004F3A6D" w:rsidP="004F3A6D">
            <w:pPr>
              <w:spacing w:after="0" w:line="360" w:lineRule="exact"/>
              <w:ind w:left="121" w:right="132"/>
              <w:jc w:val="both"/>
              <w:rPr>
                <w:rFonts w:ascii="Times New Roman" w:eastAsia="Times New Roman" w:hAnsi="Times New Roman" w:cs="Times New Roman"/>
                <w:color w:val="000000"/>
                <w:sz w:val="28"/>
                <w:szCs w:val="28"/>
              </w:rPr>
            </w:pPr>
            <w:r w:rsidRPr="007F24CD">
              <w:rPr>
                <w:rFonts w:ascii="Times New Roman" w:eastAsia="Times New Roman" w:hAnsi="Times New Roman" w:cs="Times New Roman"/>
                <w:color w:val="000000"/>
                <w:sz w:val="28"/>
                <w:szCs w:val="28"/>
              </w:rPr>
              <w:t>Chánh Văn phòng Ủy ban nhân dân Thành phố, Giám đốc Sở Y tế, Thủ trưởng các cơ quan, đơn vị liên quan chịu trách nhiệm thi hành Quyết định này.</w:t>
            </w:r>
          </w:p>
        </w:tc>
        <w:tc>
          <w:tcPr>
            <w:tcW w:w="2139" w:type="pct"/>
          </w:tcPr>
          <w:p w14:paraId="71522AEB" w14:textId="1775FB5C" w:rsidR="004F3A6D" w:rsidRPr="00111F5D" w:rsidRDefault="004F3A6D" w:rsidP="004F3A6D">
            <w:pPr>
              <w:spacing w:after="0" w:line="360" w:lineRule="exact"/>
              <w:jc w:val="both"/>
              <w:rPr>
                <w:rFonts w:ascii="Times New Roman" w:eastAsia="Times New Roman" w:hAnsi="Times New Roman" w:cs="Times New Roman"/>
                <w:color w:val="000000"/>
                <w:sz w:val="28"/>
                <w:szCs w:val="28"/>
                <w:lang w:val="en"/>
              </w:rPr>
            </w:pPr>
            <w:r w:rsidRPr="00893D75">
              <w:rPr>
                <w:rFonts w:ascii="Times New Roman" w:eastAsia="Times New Roman" w:hAnsi="Times New Roman" w:cs="Times New Roman"/>
                <w:color w:val="000000"/>
                <w:sz w:val="28"/>
                <w:szCs w:val="28"/>
                <w:lang w:val="en"/>
              </w:rPr>
              <w:lastRenderedPageBreak/>
              <w:t>Quy định cụ thể trách nhiệm của các cơ quan, đơn vị nhằm bảo đảm phân công rõ trách nhiệm trong tổ chức thực hiện Quyết định; tăng cường hiệu lực, hiệu quả quản lý nhà nước trong lĩnh vực khám bệnh, chữa bệnh và triển khai kỹ thuật loại đặc biệt trên địa bàn Thành phố.</w:t>
            </w:r>
          </w:p>
        </w:tc>
      </w:tr>
    </w:tbl>
    <w:p w14:paraId="64B8F60D" w14:textId="0385D178" w:rsidR="00C36A6F" w:rsidRPr="006C255C" w:rsidRDefault="00C36A6F" w:rsidP="00C36A6F">
      <w:pPr>
        <w:pBdr>
          <w:top w:val="dotted" w:sz="4" w:space="1" w:color="FFFFFF"/>
          <w:left w:val="dotted" w:sz="4" w:space="0" w:color="FFFFFF"/>
          <w:bottom w:val="dotted" w:sz="4" w:space="13" w:color="FFFFFF"/>
          <w:right w:val="dotted" w:sz="4" w:space="0" w:color="FFFFFF"/>
        </w:pBdr>
        <w:shd w:val="clear" w:color="auto" w:fill="FFFFFF"/>
        <w:spacing w:before="100" w:after="100" w:line="240" w:lineRule="auto"/>
        <w:ind w:firstLine="720"/>
        <w:jc w:val="both"/>
        <w:rPr>
          <w:rFonts w:ascii="Times New Roman" w:hAnsi="Times New Roman" w:cs="Times New Roman"/>
          <w:sz w:val="28"/>
          <w:szCs w:val="28"/>
        </w:rPr>
      </w:pPr>
    </w:p>
    <w:p w14:paraId="25451CCF" w14:textId="77777777" w:rsidR="00752E51" w:rsidRPr="00EF1BA8" w:rsidRDefault="00752E51" w:rsidP="00752E51">
      <w:pPr>
        <w:widowControl w:val="0"/>
        <w:tabs>
          <w:tab w:val="right" w:leader="dot" w:pos="7920"/>
        </w:tabs>
        <w:spacing w:before="220" w:after="0" w:line="240" w:lineRule="auto"/>
        <w:ind w:firstLine="567"/>
        <w:jc w:val="both"/>
        <w:rPr>
          <w:rFonts w:ascii="Times New Roman" w:eastAsia="Courier New" w:hAnsi="Times New Roman" w:cs="Times New Roman"/>
          <w:sz w:val="24"/>
          <w:szCs w:val="24"/>
          <w:lang w:val="vi-VN" w:eastAsia="vi-VN"/>
        </w:rPr>
      </w:pPr>
    </w:p>
    <w:p w14:paraId="676EEAF8" w14:textId="77777777" w:rsidR="00D87954" w:rsidRPr="00EF1BA8" w:rsidRDefault="00D87954">
      <w:pPr>
        <w:rPr>
          <w:rFonts w:ascii="Times New Roman" w:hAnsi="Times New Roman" w:cs="Times New Roman"/>
        </w:rPr>
      </w:pPr>
    </w:p>
    <w:sectPr w:rsidR="00D87954" w:rsidRPr="00EF1BA8" w:rsidSect="00947060">
      <w:headerReference w:type="default" r:id="rId8"/>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C5983" w14:textId="77777777" w:rsidR="005F5E3E" w:rsidRDefault="005F5E3E" w:rsidP="00557E3F">
      <w:pPr>
        <w:spacing w:after="0" w:line="240" w:lineRule="auto"/>
      </w:pPr>
      <w:r>
        <w:separator/>
      </w:r>
    </w:p>
  </w:endnote>
  <w:endnote w:type="continuationSeparator" w:id="0">
    <w:p w14:paraId="07690B1B" w14:textId="77777777" w:rsidR="005F5E3E" w:rsidRDefault="005F5E3E" w:rsidP="00557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book-Antiqua">
    <w:altName w:val="Courier New"/>
    <w:panose1 w:val="00000000000000000000"/>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4332A" w14:textId="77777777" w:rsidR="005F5E3E" w:rsidRDefault="005F5E3E" w:rsidP="00557E3F">
      <w:pPr>
        <w:spacing w:after="0" w:line="240" w:lineRule="auto"/>
      </w:pPr>
      <w:r>
        <w:separator/>
      </w:r>
    </w:p>
  </w:footnote>
  <w:footnote w:type="continuationSeparator" w:id="0">
    <w:p w14:paraId="487AA3FA" w14:textId="77777777" w:rsidR="005F5E3E" w:rsidRDefault="005F5E3E" w:rsidP="00557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205221"/>
      <w:docPartObj>
        <w:docPartGallery w:val="Page Numbers (Top of Page)"/>
        <w:docPartUnique/>
      </w:docPartObj>
    </w:sdtPr>
    <w:sdtEndPr>
      <w:rPr>
        <w:rFonts w:ascii="Times New Roman" w:hAnsi="Times New Roman" w:cs="Times New Roman"/>
        <w:noProof/>
      </w:rPr>
    </w:sdtEndPr>
    <w:sdtContent>
      <w:p w14:paraId="5483909B" w14:textId="13AAF13F" w:rsidR="00BF6BC0" w:rsidRPr="00D71ADD" w:rsidRDefault="00BF6BC0">
        <w:pPr>
          <w:pStyle w:val="Header"/>
          <w:jc w:val="center"/>
          <w:rPr>
            <w:rFonts w:ascii="Times New Roman" w:hAnsi="Times New Roman" w:cs="Times New Roman"/>
          </w:rPr>
        </w:pPr>
        <w:r w:rsidRPr="00E9712F">
          <w:rPr>
            <w:rFonts w:ascii="Times New Roman" w:hAnsi="Times New Roman" w:cs="Times New Roman"/>
            <w:sz w:val="26"/>
            <w:szCs w:val="26"/>
          </w:rPr>
          <w:fldChar w:fldCharType="begin"/>
        </w:r>
        <w:r w:rsidRPr="00E9712F">
          <w:rPr>
            <w:rFonts w:ascii="Times New Roman" w:hAnsi="Times New Roman" w:cs="Times New Roman"/>
            <w:sz w:val="26"/>
            <w:szCs w:val="26"/>
          </w:rPr>
          <w:instrText xml:space="preserve"> PAGE   \* MERGEFORMAT </w:instrText>
        </w:r>
        <w:r w:rsidRPr="00E9712F">
          <w:rPr>
            <w:rFonts w:ascii="Times New Roman" w:hAnsi="Times New Roman" w:cs="Times New Roman"/>
            <w:sz w:val="26"/>
            <w:szCs w:val="26"/>
          </w:rPr>
          <w:fldChar w:fldCharType="separate"/>
        </w:r>
        <w:r w:rsidR="00620BF6">
          <w:rPr>
            <w:rFonts w:ascii="Times New Roman" w:hAnsi="Times New Roman" w:cs="Times New Roman"/>
            <w:noProof/>
            <w:sz w:val="26"/>
            <w:szCs w:val="26"/>
          </w:rPr>
          <w:t>10</w:t>
        </w:r>
        <w:r w:rsidRPr="00E9712F">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3243E"/>
    <w:multiLevelType w:val="hybridMultilevel"/>
    <w:tmpl w:val="E6FE51B8"/>
    <w:lvl w:ilvl="0" w:tplc="43DE022E">
      <w:start w:val="4"/>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 w15:restartNumberingAfterBreak="0">
    <w:nsid w:val="51A02813"/>
    <w:multiLevelType w:val="multilevel"/>
    <w:tmpl w:val="39EEAA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1CA1514"/>
    <w:multiLevelType w:val="multilevel"/>
    <w:tmpl w:val="A406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CC3344"/>
    <w:multiLevelType w:val="multilevel"/>
    <w:tmpl w:val="FA94A1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E51"/>
    <w:rsid w:val="00006726"/>
    <w:rsid w:val="00021B07"/>
    <w:rsid w:val="00023A5D"/>
    <w:rsid w:val="00023BE0"/>
    <w:rsid w:val="00023C90"/>
    <w:rsid w:val="0003455F"/>
    <w:rsid w:val="00055826"/>
    <w:rsid w:val="00056ACB"/>
    <w:rsid w:val="000617D4"/>
    <w:rsid w:val="000701C2"/>
    <w:rsid w:val="00073ED2"/>
    <w:rsid w:val="00075670"/>
    <w:rsid w:val="000760EF"/>
    <w:rsid w:val="00076E8E"/>
    <w:rsid w:val="000874C5"/>
    <w:rsid w:val="00094BB6"/>
    <w:rsid w:val="00096C30"/>
    <w:rsid w:val="000A2FF8"/>
    <w:rsid w:val="000A6001"/>
    <w:rsid w:val="000A65F0"/>
    <w:rsid w:val="000A7E60"/>
    <w:rsid w:val="000B664D"/>
    <w:rsid w:val="000C1D3B"/>
    <w:rsid w:val="000C3B11"/>
    <w:rsid w:val="000D02A2"/>
    <w:rsid w:val="000D14EA"/>
    <w:rsid w:val="000D59A2"/>
    <w:rsid w:val="000D664A"/>
    <w:rsid w:val="000F07B3"/>
    <w:rsid w:val="000F7C96"/>
    <w:rsid w:val="00100563"/>
    <w:rsid w:val="001056EF"/>
    <w:rsid w:val="00106F12"/>
    <w:rsid w:val="00111F5D"/>
    <w:rsid w:val="00113DAC"/>
    <w:rsid w:val="00115073"/>
    <w:rsid w:val="00115C6E"/>
    <w:rsid w:val="00121F09"/>
    <w:rsid w:val="001255DE"/>
    <w:rsid w:val="001427FF"/>
    <w:rsid w:val="001435B0"/>
    <w:rsid w:val="00144F23"/>
    <w:rsid w:val="00144FA9"/>
    <w:rsid w:val="00145878"/>
    <w:rsid w:val="00154F8D"/>
    <w:rsid w:val="00155D8E"/>
    <w:rsid w:val="00162396"/>
    <w:rsid w:val="00163A20"/>
    <w:rsid w:val="00165075"/>
    <w:rsid w:val="00176149"/>
    <w:rsid w:val="00184137"/>
    <w:rsid w:val="00184604"/>
    <w:rsid w:val="001A41D7"/>
    <w:rsid w:val="001B1C56"/>
    <w:rsid w:val="001B5806"/>
    <w:rsid w:val="001C687C"/>
    <w:rsid w:val="001D17DD"/>
    <w:rsid w:val="001E1EF2"/>
    <w:rsid w:val="001E32AC"/>
    <w:rsid w:val="00206258"/>
    <w:rsid w:val="00210BD4"/>
    <w:rsid w:val="002245A4"/>
    <w:rsid w:val="0023375D"/>
    <w:rsid w:val="00235FE7"/>
    <w:rsid w:val="002400D6"/>
    <w:rsid w:val="002456E5"/>
    <w:rsid w:val="00246F2D"/>
    <w:rsid w:val="00247212"/>
    <w:rsid w:val="00251C9E"/>
    <w:rsid w:val="00262335"/>
    <w:rsid w:val="002641DB"/>
    <w:rsid w:val="00266DBD"/>
    <w:rsid w:val="002710F2"/>
    <w:rsid w:val="00291569"/>
    <w:rsid w:val="002950DC"/>
    <w:rsid w:val="002A16B0"/>
    <w:rsid w:val="002B7DFF"/>
    <w:rsid w:val="002D05FD"/>
    <w:rsid w:val="002D3285"/>
    <w:rsid w:val="002D7874"/>
    <w:rsid w:val="002E0779"/>
    <w:rsid w:val="002E770D"/>
    <w:rsid w:val="002F2885"/>
    <w:rsid w:val="002F600A"/>
    <w:rsid w:val="00304E97"/>
    <w:rsid w:val="00320753"/>
    <w:rsid w:val="00321E38"/>
    <w:rsid w:val="00327B3D"/>
    <w:rsid w:val="00327B90"/>
    <w:rsid w:val="00334D06"/>
    <w:rsid w:val="003357E7"/>
    <w:rsid w:val="00335A4C"/>
    <w:rsid w:val="00340B11"/>
    <w:rsid w:val="0034146D"/>
    <w:rsid w:val="00347364"/>
    <w:rsid w:val="003554BB"/>
    <w:rsid w:val="003559BF"/>
    <w:rsid w:val="00366C2B"/>
    <w:rsid w:val="003705FD"/>
    <w:rsid w:val="00373850"/>
    <w:rsid w:val="003858BE"/>
    <w:rsid w:val="003A0754"/>
    <w:rsid w:val="003A292C"/>
    <w:rsid w:val="003A673D"/>
    <w:rsid w:val="003A7E05"/>
    <w:rsid w:val="003B485E"/>
    <w:rsid w:val="003C1820"/>
    <w:rsid w:val="003C2F03"/>
    <w:rsid w:val="003C3F50"/>
    <w:rsid w:val="003C75F4"/>
    <w:rsid w:val="003D329C"/>
    <w:rsid w:val="003D6882"/>
    <w:rsid w:val="003D77B6"/>
    <w:rsid w:val="003E0295"/>
    <w:rsid w:val="003E493D"/>
    <w:rsid w:val="003F072C"/>
    <w:rsid w:val="003F412A"/>
    <w:rsid w:val="003F5279"/>
    <w:rsid w:val="003F52C1"/>
    <w:rsid w:val="00412598"/>
    <w:rsid w:val="004146F2"/>
    <w:rsid w:val="00422219"/>
    <w:rsid w:val="004357E0"/>
    <w:rsid w:val="00437017"/>
    <w:rsid w:val="004404AF"/>
    <w:rsid w:val="00440895"/>
    <w:rsid w:val="00441D85"/>
    <w:rsid w:val="00442927"/>
    <w:rsid w:val="00452049"/>
    <w:rsid w:val="0046752E"/>
    <w:rsid w:val="00475AD9"/>
    <w:rsid w:val="0049290F"/>
    <w:rsid w:val="004A2E44"/>
    <w:rsid w:val="004A561A"/>
    <w:rsid w:val="004B16C6"/>
    <w:rsid w:val="004C03E7"/>
    <w:rsid w:val="004C06CE"/>
    <w:rsid w:val="004D1A8D"/>
    <w:rsid w:val="004D3573"/>
    <w:rsid w:val="004E1C1A"/>
    <w:rsid w:val="004F3227"/>
    <w:rsid w:val="004F3A6D"/>
    <w:rsid w:val="00502BB6"/>
    <w:rsid w:val="005055AC"/>
    <w:rsid w:val="0052418E"/>
    <w:rsid w:val="00526AAD"/>
    <w:rsid w:val="00547954"/>
    <w:rsid w:val="005521E8"/>
    <w:rsid w:val="00554EB2"/>
    <w:rsid w:val="00556337"/>
    <w:rsid w:val="00557E3F"/>
    <w:rsid w:val="005677EE"/>
    <w:rsid w:val="005722C8"/>
    <w:rsid w:val="00572A69"/>
    <w:rsid w:val="00586834"/>
    <w:rsid w:val="005923CD"/>
    <w:rsid w:val="00593E2A"/>
    <w:rsid w:val="005942D2"/>
    <w:rsid w:val="00594343"/>
    <w:rsid w:val="00596899"/>
    <w:rsid w:val="005A0FE9"/>
    <w:rsid w:val="005A1473"/>
    <w:rsid w:val="005A1FAB"/>
    <w:rsid w:val="005A221F"/>
    <w:rsid w:val="005A4E8E"/>
    <w:rsid w:val="005C2C26"/>
    <w:rsid w:val="005C78B3"/>
    <w:rsid w:val="005D2864"/>
    <w:rsid w:val="005E0AF5"/>
    <w:rsid w:val="005F0C45"/>
    <w:rsid w:val="005F5E3E"/>
    <w:rsid w:val="0060628C"/>
    <w:rsid w:val="00607CCA"/>
    <w:rsid w:val="00610B2B"/>
    <w:rsid w:val="0061422B"/>
    <w:rsid w:val="00614484"/>
    <w:rsid w:val="00620BF6"/>
    <w:rsid w:val="00620EA1"/>
    <w:rsid w:val="0065275C"/>
    <w:rsid w:val="00652BDD"/>
    <w:rsid w:val="006537BB"/>
    <w:rsid w:val="006562AF"/>
    <w:rsid w:val="00661275"/>
    <w:rsid w:val="0066525F"/>
    <w:rsid w:val="006733A5"/>
    <w:rsid w:val="00696E33"/>
    <w:rsid w:val="006B0DBD"/>
    <w:rsid w:val="006C255C"/>
    <w:rsid w:val="006D1278"/>
    <w:rsid w:val="006D3D54"/>
    <w:rsid w:val="006D472D"/>
    <w:rsid w:val="00705408"/>
    <w:rsid w:val="0071260A"/>
    <w:rsid w:val="00722697"/>
    <w:rsid w:val="00725E53"/>
    <w:rsid w:val="007276A7"/>
    <w:rsid w:val="00732D7F"/>
    <w:rsid w:val="007372E9"/>
    <w:rsid w:val="0074412B"/>
    <w:rsid w:val="00752E51"/>
    <w:rsid w:val="00767619"/>
    <w:rsid w:val="00771DD4"/>
    <w:rsid w:val="00792AF4"/>
    <w:rsid w:val="0079400D"/>
    <w:rsid w:val="00797AAF"/>
    <w:rsid w:val="007A05AF"/>
    <w:rsid w:val="007D4B10"/>
    <w:rsid w:val="007E7734"/>
    <w:rsid w:val="007F24CD"/>
    <w:rsid w:val="007F27CE"/>
    <w:rsid w:val="007F55CC"/>
    <w:rsid w:val="007F68CE"/>
    <w:rsid w:val="007F6B95"/>
    <w:rsid w:val="00812775"/>
    <w:rsid w:val="00814E9A"/>
    <w:rsid w:val="00824B62"/>
    <w:rsid w:val="0082541F"/>
    <w:rsid w:val="00840509"/>
    <w:rsid w:val="008429D3"/>
    <w:rsid w:val="008554FD"/>
    <w:rsid w:val="00856FA8"/>
    <w:rsid w:val="00861C95"/>
    <w:rsid w:val="00863949"/>
    <w:rsid w:val="008740E5"/>
    <w:rsid w:val="00882F28"/>
    <w:rsid w:val="0088385C"/>
    <w:rsid w:val="00893D75"/>
    <w:rsid w:val="0089664E"/>
    <w:rsid w:val="008A7D2A"/>
    <w:rsid w:val="008B5379"/>
    <w:rsid w:val="008C16E6"/>
    <w:rsid w:val="008C2383"/>
    <w:rsid w:val="008D1AFB"/>
    <w:rsid w:val="008F10AC"/>
    <w:rsid w:val="008F3DCA"/>
    <w:rsid w:val="008F603F"/>
    <w:rsid w:val="0090181F"/>
    <w:rsid w:val="009030D7"/>
    <w:rsid w:val="00913D60"/>
    <w:rsid w:val="009235E7"/>
    <w:rsid w:val="009236A6"/>
    <w:rsid w:val="009241DF"/>
    <w:rsid w:val="00942F83"/>
    <w:rsid w:val="00946540"/>
    <w:rsid w:val="00946CE5"/>
    <w:rsid w:val="00947060"/>
    <w:rsid w:val="009512DF"/>
    <w:rsid w:val="0096766D"/>
    <w:rsid w:val="00973550"/>
    <w:rsid w:val="009A6C51"/>
    <w:rsid w:val="009C6C5D"/>
    <w:rsid w:val="009D6458"/>
    <w:rsid w:val="009E04A4"/>
    <w:rsid w:val="009E09AD"/>
    <w:rsid w:val="009E1ED2"/>
    <w:rsid w:val="00A03143"/>
    <w:rsid w:val="00A051EE"/>
    <w:rsid w:val="00A07263"/>
    <w:rsid w:val="00A1062C"/>
    <w:rsid w:val="00A17B66"/>
    <w:rsid w:val="00A26879"/>
    <w:rsid w:val="00A40EE3"/>
    <w:rsid w:val="00A42AE9"/>
    <w:rsid w:val="00A74FB0"/>
    <w:rsid w:val="00A828F1"/>
    <w:rsid w:val="00A866EB"/>
    <w:rsid w:val="00A87146"/>
    <w:rsid w:val="00A93214"/>
    <w:rsid w:val="00A96BC2"/>
    <w:rsid w:val="00A97ADE"/>
    <w:rsid w:val="00AA21F4"/>
    <w:rsid w:val="00AA362B"/>
    <w:rsid w:val="00AA7C7A"/>
    <w:rsid w:val="00AC7A68"/>
    <w:rsid w:val="00AD61D3"/>
    <w:rsid w:val="00AD7906"/>
    <w:rsid w:val="00AE762C"/>
    <w:rsid w:val="00AF4B3F"/>
    <w:rsid w:val="00AF4C01"/>
    <w:rsid w:val="00B06868"/>
    <w:rsid w:val="00B06C79"/>
    <w:rsid w:val="00B07147"/>
    <w:rsid w:val="00B1228A"/>
    <w:rsid w:val="00B14AD7"/>
    <w:rsid w:val="00B31EC5"/>
    <w:rsid w:val="00B40DB0"/>
    <w:rsid w:val="00B4398C"/>
    <w:rsid w:val="00B43A8E"/>
    <w:rsid w:val="00B44861"/>
    <w:rsid w:val="00B54A2F"/>
    <w:rsid w:val="00B55B7F"/>
    <w:rsid w:val="00B61BF9"/>
    <w:rsid w:val="00B638E7"/>
    <w:rsid w:val="00B752E7"/>
    <w:rsid w:val="00B76C0E"/>
    <w:rsid w:val="00B81495"/>
    <w:rsid w:val="00B82452"/>
    <w:rsid w:val="00B92C99"/>
    <w:rsid w:val="00BA04D8"/>
    <w:rsid w:val="00BB3AFE"/>
    <w:rsid w:val="00BF656F"/>
    <w:rsid w:val="00BF6BC0"/>
    <w:rsid w:val="00C01D9F"/>
    <w:rsid w:val="00C1603C"/>
    <w:rsid w:val="00C20659"/>
    <w:rsid w:val="00C264CE"/>
    <w:rsid w:val="00C30556"/>
    <w:rsid w:val="00C32E86"/>
    <w:rsid w:val="00C36A6F"/>
    <w:rsid w:val="00C559B1"/>
    <w:rsid w:val="00C64CAF"/>
    <w:rsid w:val="00C65451"/>
    <w:rsid w:val="00C72AF9"/>
    <w:rsid w:val="00C91D1C"/>
    <w:rsid w:val="00CA3ACF"/>
    <w:rsid w:val="00CC465B"/>
    <w:rsid w:val="00CD04C7"/>
    <w:rsid w:val="00CD1C88"/>
    <w:rsid w:val="00CD70A3"/>
    <w:rsid w:val="00CE4944"/>
    <w:rsid w:val="00CF3B7B"/>
    <w:rsid w:val="00D0013B"/>
    <w:rsid w:val="00D14A86"/>
    <w:rsid w:val="00D205F4"/>
    <w:rsid w:val="00D22AE0"/>
    <w:rsid w:val="00D32197"/>
    <w:rsid w:val="00D37955"/>
    <w:rsid w:val="00D44CBD"/>
    <w:rsid w:val="00D45117"/>
    <w:rsid w:val="00D512FA"/>
    <w:rsid w:val="00D51A13"/>
    <w:rsid w:val="00D51D65"/>
    <w:rsid w:val="00D521C5"/>
    <w:rsid w:val="00D53E93"/>
    <w:rsid w:val="00D60989"/>
    <w:rsid w:val="00D63D05"/>
    <w:rsid w:val="00D71ADD"/>
    <w:rsid w:val="00D81A79"/>
    <w:rsid w:val="00D87954"/>
    <w:rsid w:val="00DA36FE"/>
    <w:rsid w:val="00DB1C90"/>
    <w:rsid w:val="00DB5638"/>
    <w:rsid w:val="00DB5E98"/>
    <w:rsid w:val="00DC6386"/>
    <w:rsid w:val="00DC669B"/>
    <w:rsid w:val="00DC6A50"/>
    <w:rsid w:val="00DC73A2"/>
    <w:rsid w:val="00DD2522"/>
    <w:rsid w:val="00DF7997"/>
    <w:rsid w:val="00E03869"/>
    <w:rsid w:val="00E07A88"/>
    <w:rsid w:val="00E105C0"/>
    <w:rsid w:val="00E11992"/>
    <w:rsid w:val="00E11ADC"/>
    <w:rsid w:val="00E13696"/>
    <w:rsid w:val="00E15B23"/>
    <w:rsid w:val="00E20931"/>
    <w:rsid w:val="00E32377"/>
    <w:rsid w:val="00E467F3"/>
    <w:rsid w:val="00E50AF5"/>
    <w:rsid w:val="00E50B4B"/>
    <w:rsid w:val="00E53694"/>
    <w:rsid w:val="00E5431B"/>
    <w:rsid w:val="00E569D2"/>
    <w:rsid w:val="00E62551"/>
    <w:rsid w:val="00E62FDC"/>
    <w:rsid w:val="00E64790"/>
    <w:rsid w:val="00E65E86"/>
    <w:rsid w:val="00E75410"/>
    <w:rsid w:val="00E8437A"/>
    <w:rsid w:val="00E90E7E"/>
    <w:rsid w:val="00E9712F"/>
    <w:rsid w:val="00EA0170"/>
    <w:rsid w:val="00EA64E9"/>
    <w:rsid w:val="00EC3E4E"/>
    <w:rsid w:val="00EC6552"/>
    <w:rsid w:val="00ED630A"/>
    <w:rsid w:val="00EF1BA8"/>
    <w:rsid w:val="00EF477B"/>
    <w:rsid w:val="00F00E43"/>
    <w:rsid w:val="00F22AD0"/>
    <w:rsid w:val="00F24C8B"/>
    <w:rsid w:val="00F32F27"/>
    <w:rsid w:val="00F5538B"/>
    <w:rsid w:val="00F60C36"/>
    <w:rsid w:val="00F6541C"/>
    <w:rsid w:val="00F71D67"/>
    <w:rsid w:val="00F74006"/>
    <w:rsid w:val="00F7650D"/>
    <w:rsid w:val="00F82238"/>
    <w:rsid w:val="00F84587"/>
    <w:rsid w:val="00F93E74"/>
    <w:rsid w:val="00FA2B57"/>
    <w:rsid w:val="00FA57C9"/>
    <w:rsid w:val="00FB5550"/>
    <w:rsid w:val="00FC01B5"/>
    <w:rsid w:val="00FC31B3"/>
    <w:rsid w:val="00FD6430"/>
    <w:rsid w:val="00FD6A6E"/>
    <w:rsid w:val="00FE13CA"/>
    <w:rsid w:val="00FE71A3"/>
    <w:rsid w:val="00FF5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9133"/>
  <w15:docId w15:val="{3F03E0F3-8422-4A78-B833-C6E8E5C0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4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C1603C"/>
    <w:pPr>
      <w:overflowPunct w:val="0"/>
      <w:autoSpaceDE w:val="0"/>
      <w:autoSpaceDN w:val="0"/>
      <w:adjustRightInd w:val="0"/>
      <w:spacing w:after="0" w:line="240" w:lineRule="auto"/>
      <w:ind w:firstLine="720"/>
      <w:jc w:val="both"/>
    </w:pPr>
    <w:rPr>
      <w:rFonts w:ascii="VNbook-Antiqua" w:eastAsia="Times New Roman" w:hAnsi="VNbook-Antiqua" w:cs="Times New Roman"/>
      <w:sz w:val="24"/>
      <w:szCs w:val="20"/>
      <w:lang w:val="en-GB"/>
    </w:rPr>
  </w:style>
  <w:style w:type="character" w:customStyle="1" w:styleId="BodyTextIndentChar">
    <w:name w:val="Body Text Indent Char"/>
    <w:basedOn w:val="DefaultParagraphFont"/>
    <w:link w:val="BodyTextIndent"/>
    <w:rsid w:val="00C1603C"/>
    <w:rPr>
      <w:rFonts w:ascii="VNbook-Antiqua" w:eastAsia="Times New Roman" w:hAnsi="VNbook-Antiqua" w:cs="Times New Roman"/>
      <w:sz w:val="24"/>
      <w:szCs w:val="20"/>
      <w:lang w:val="en-GB"/>
    </w:rPr>
  </w:style>
  <w:style w:type="character" w:styleId="FootnoteReference">
    <w:name w:val="footnote reference"/>
    <w:aliases w:val="Footnote,Footnote text,ftref,BearingPoint,16 Point,Superscript 6 Point,fr,Footnote Text1,Ref,de nota al pie,Footnote + Arial,10 pt,Black,Footnote Text11, BVI fnr,BVI fnr,f,Footnote dich,footnote ref,SUPERS,10,Re,Знак сноски 1,R,10 p,C"/>
    <w:link w:val="FootnoteCharCharChar"/>
    <w:unhideWhenUsed/>
    <w:qFormat/>
    <w:rsid w:val="00557E3F"/>
    <w:rPr>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n"/>
    <w:basedOn w:val="Normal"/>
    <w:link w:val="FootnoteTextChar"/>
    <w:unhideWhenUsed/>
    <w:qFormat/>
    <w:rsid w:val="00557E3F"/>
    <w:pPr>
      <w:widowControl w:val="0"/>
      <w:spacing w:before="120" w:after="120" w:line="312" w:lineRule="auto"/>
    </w:pPr>
    <w:rPr>
      <w:rFonts w:ascii="Times New Roman" w:eastAsia="Courier New" w:hAnsi="Times New Roman" w:cs="Courier New"/>
      <w:color w:val="000000"/>
      <w:sz w:val="20"/>
      <w:szCs w:val="20"/>
      <w:lang w:val="vi-VN"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basedOn w:val="DefaultParagraphFont"/>
    <w:link w:val="FootnoteText"/>
    <w:qFormat/>
    <w:rsid w:val="00557E3F"/>
    <w:rPr>
      <w:rFonts w:ascii="Times New Roman" w:eastAsia="Courier New" w:hAnsi="Times New Roman" w:cs="Courier New"/>
      <w:color w:val="000000"/>
      <w:sz w:val="20"/>
      <w:szCs w:val="20"/>
      <w:lang w:val="vi-VN" w:eastAsia="vi-VN"/>
    </w:rPr>
  </w:style>
  <w:style w:type="paragraph" w:customStyle="1" w:styleId="FootnoteCharCharChar">
    <w:name w:val="Footnote Char Char Char"/>
    <w:aliases w:val="Footnote text Char Char Char,ftref Char Char Char,BearingPoint Char Char Char,16 Point Char Char Char,Superscript 6 Point Char Char Char,fr Char Char Char,Footnote Text1 Char Char Char,f Char1 Char Char"/>
    <w:basedOn w:val="Normal"/>
    <w:next w:val="Normal"/>
    <w:link w:val="FootnoteReference"/>
    <w:rsid w:val="00557E3F"/>
    <w:pPr>
      <w:spacing w:line="240" w:lineRule="exact"/>
    </w:pPr>
    <w:rPr>
      <w:vertAlign w:val="superscript"/>
    </w:rPr>
  </w:style>
  <w:style w:type="paragraph" w:styleId="ListParagraph">
    <w:name w:val="List Paragraph"/>
    <w:basedOn w:val="Normal"/>
    <w:uiPriority w:val="34"/>
    <w:qFormat/>
    <w:rsid w:val="00596899"/>
    <w:pPr>
      <w:ind w:left="720"/>
      <w:contextualSpacing/>
    </w:pPr>
  </w:style>
  <w:style w:type="paragraph" w:styleId="BodyText">
    <w:name w:val="Body Text"/>
    <w:basedOn w:val="Normal"/>
    <w:link w:val="BodyTextChar"/>
    <w:unhideWhenUsed/>
    <w:qFormat/>
    <w:rsid w:val="00B06C79"/>
    <w:pPr>
      <w:spacing w:after="120"/>
    </w:pPr>
  </w:style>
  <w:style w:type="character" w:customStyle="1" w:styleId="BodyTextChar">
    <w:name w:val="Body Text Char"/>
    <w:basedOn w:val="DefaultParagraphFont"/>
    <w:link w:val="BodyText"/>
    <w:rsid w:val="00B06C79"/>
  </w:style>
  <w:style w:type="paragraph" w:styleId="Header">
    <w:name w:val="header"/>
    <w:basedOn w:val="Normal"/>
    <w:link w:val="HeaderChar"/>
    <w:uiPriority w:val="99"/>
    <w:unhideWhenUsed/>
    <w:rsid w:val="00FE1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3CA"/>
  </w:style>
  <w:style w:type="paragraph" w:styleId="Footer">
    <w:name w:val="footer"/>
    <w:basedOn w:val="Normal"/>
    <w:link w:val="FooterChar"/>
    <w:uiPriority w:val="99"/>
    <w:unhideWhenUsed/>
    <w:rsid w:val="00FE1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3CA"/>
  </w:style>
  <w:style w:type="character" w:styleId="Hyperlink">
    <w:name w:val="Hyperlink"/>
    <w:uiPriority w:val="99"/>
    <w:unhideWhenUsed/>
    <w:rsid w:val="00262335"/>
    <w:rPr>
      <w:color w:val="467886"/>
      <w:u w:val="single"/>
    </w:rPr>
  </w:style>
  <w:style w:type="character" w:customStyle="1" w:styleId="fontstyle01">
    <w:name w:val="fontstyle01"/>
    <w:basedOn w:val="DefaultParagraphFont"/>
    <w:rsid w:val="00441D85"/>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E62FDC"/>
    <w:rPr>
      <w:rFonts w:ascii="TimesNewRomanPS-ItalicMT" w:hAnsi="TimesNewRomanPS-ItalicMT" w:hint="default"/>
      <w:b w:val="0"/>
      <w:bCs w:val="0"/>
      <w:i/>
      <w:iCs/>
      <w:color w:val="000000"/>
      <w:sz w:val="28"/>
      <w:szCs w:val="28"/>
    </w:rPr>
  </w:style>
  <w:style w:type="character" w:customStyle="1" w:styleId="UnresolvedMention">
    <w:name w:val="Unresolved Mention"/>
    <w:basedOn w:val="DefaultParagraphFont"/>
    <w:uiPriority w:val="99"/>
    <w:semiHidden/>
    <w:unhideWhenUsed/>
    <w:rsid w:val="003F4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08215">
      <w:bodyDiv w:val="1"/>
      <w:marLeft w:val="0"/>
      <w:marRight w:val="0"/>
      <w:marTop w:val="0"/>
      <w:marBottom w:val="0"/>
      <w:divBdr>
        <w:top w:val="none" w:sz="0" w:space="0" w:color="auto"/>
        <w:left w:val="none" w:sz="0" w:space="0" w:color="auto"/>
        <w:bottom w:val="none" w:sz="0" w:space="0" w:color="auto"/>
        <w:right w:val="none" w:sz="0" w:space="0" w:color="auto"/>
      </w:divBdr>
    </w:div>
    <w:div w:id="583343483">
      <w:bodyDiv w:val="1"/>
      <w:marLeft w:val="0"/>
      <w:marRight w:val="0"/>
      <w:marTop w:val="0"/>
      <w:marBottom w:val="0"/>
      <w:divBdr>
        <w:top w:val="none" w:sz="0" w:space="0" w:color="auto"/>
        <w:left w:val="none" w:sz="0" w:space="0" w:color="auto"/>
        <w:bottom w:val="none" w:sz="0" w:space="0" w:color="auto"/>
        <w:right w:val="none" w:sz="0" w:space="0" w:color="auto"/>
      </w:divBdr>
      <w:divsChild>
        <w:div w:id="1677224030">
          <w:marLeft w:val="0"/>
          <w:marRight w:val="0"/>
          <w:marTop w:val="120"/>
          <w:marBottom w:val="120"/>
          <w:divBdr>
            <w:top w:val="none" w:sz="0" w:space="0" w:color="auto"/>
            <w:left w:val="none" w:sz="0" w:space="0" w:color="auto"/>
            <w:bottom w:val="none" w:sz="0" w:space="0" w:color="auto"/>
            <w:right w:val="none" w:sz="0" w:space="0" w:color="auto"/>
          </w:divBdr>
          <w:divsChild>
            <w:div w:id="1174800364">
              <w:marLeft w:val="0"/>
              <w:marRight w:val="0"/>
              <w:marTop w:val="0"/>
              <w:marBottom w:val="0"/>
              <w:divBdr>
                <w:top w:val="none" w:sz="0" w:space="0" w:color="auto"/>
                <w:left w:val="none" w:sz="0" w:space="0" w:color="auto"/>
                <w:bottom w:val="none" w:sz="0" w:space="0" w:color="auto"/>
                <w:right w:val="none" w:sz="0" w:space="0" w:color="auto"/>
              </w:divBdr>
            </w:div>
          </w:divsChild>
        </w:div>
        <w:div w:id="564998572">
          <w:marLeft w:val="0"/>
          <w:marRight w:val="0"/>
          <w:marTop w:val="120"/>
          <w:marBottom w:val="120"/>
          <w:divBdr>
            <w:top w:val="none" w:sz="0" w:space="0" w:color="auto"/>
            <w:left w:val="none" w:sz="0" w:space="0" w:color="auto"/>
            <w:bottom w:val="none" w:sz="0" w:space="0" w:color="auto"/>
            <w:right w:val="none" w:sz="0" w:space="0" w:color="auto"/>
          </w:divBdr>
          <w:divsChild>
            <w:div w:id="210097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F9EB1-6572-4C1A-9003-E4B8D1E90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1686</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NEW</cp:lastModifiedBy>
  <cp:revision>2</cp:revision>
  <cp:lastPrinted>2025-06-29T10:44:00Z</cp:lastPrinted>
  <dcterms:created xsi:type="dcterms:W3CDTF">2026-05-27T03:34:00Z</dcterms:created>
  <dcterms:modified xsi:type="dcterms:W3CDTF">2026-05-27T03:34:00Z</dcterms:modified>
</cp:coreProperties>
</file>